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22F6F" w14:textId="77777777" w:rsidR="007F4D13" w:rsidRDefault="007F4D13" w:rsidP="00E366D3">
      <w:pPr>
        <w:tabs>
          <w:tab w:val="left" w:pos="720"/>
          <w:tab w:val="left" w:pos="1440"/>
          <w:tab w:val="right" w:leader="dot" w:pos="9072"/>
        </w:tabs>
        <w:rPr>
          <w:b/>
        </w:rPr>
      </w:pPr>
    </w:p>
    <w:p w14:paraId="6430ED74" w14:textId="02AA4887" w:rsidR="00504E76" w:rsidRPr="007F4D13" w:rsidRDefault="00504E76" w:rsidP="00E366D3">
      <w:pPr>
        <w:tabs>
          <w:tab w:val="left" w:pos="720"/>
          <w:tab w:val="left" w:pos="1440"/>
          <w:tab w:val="right" w:leader="dot" w:pos="9072"/>
        </w:tabs>
        <w:rPr>
          <w:b/>
        </w:rPr>
      </w:pPr>
      <w:r w:rsidRPr="007F4D13">
        <w:rPr>
          <w:b/>
        </w:rPr>
        <w:t>ADMINISTRATION</w:t>
      </w:r>
      <w:r w:rsidR="00844DA4">
        <w:rPr>
          <w:b/>
        </w:rPr>
        <w:t xml:space="preserve"> </w:t>
      </w:r>
      <w:r w:rsidR="00844DA4">
        <w:rPr>
          <w:b/>
        </w:rPr>
        <w:tab/>
        <w:t>PAGES</w:t>
      </w:r>
    </w:p>
    <w:p w14:paraId="441255BB" w14:textId="55A06FD3" w:rsidR="002C44BB" w:rsidRDefault="00992C3A" w:rsidP="00261DB4">
      <w:pPr>
        <w:tabs>
          <w:tab w:val="left" w:pos="720"/>
          <w:tab w:val="left" w:pos="1440"/>
          <w:tab w:val="right" w:leader="dot" w:pos="8820"/>
        </w:tabs>
        <w:spacing w:line="360" w:lineRule="auto"/>
      </w:pPr>
      <w:r>
        <w:tab/>
      </w:r>
      <w:r w:rsidR="00504E76">
        <w:t>Conflict of Interest Code</w:t>
      </w:r>
      <w:r w:rsidR="00E22E42">
        <w:t xml:space="preserve"> 2-100</w:t>
      </w:r>
      <w:r w:rsidR="00E22E42">
        <w:tab/>
        <w:t>1</w:t>
      </w:r>
      <w:r w:rsidR="00040981">
        <w:t>2</w:t>
      </w:r>
      <w:r w:rsidR="0052284A">
        <w:t>-15</w:t>
      </w:r>
    </w:p>
    <w:p w14:paraId="0E6FB191" w14:textId="3027B264" w:rsidR="00992C3A" w:rsidRDefault="00992C3A" w:rsidP="00261DB4">
      <w:pPr>
        <w:tabs>
          <w:tab w:val="left" w:pos="720"/>
          <w:tab w:val="left" w:pos="1440"/>
          <w:tab w:val="right" w:leader="dot" w:pos="8820"/>
        </w:tabs>
        <w:spacing w:line="360" w:lineRule="auto"/>
      </w:pPr>
      <w:r>
        <w:tab/>
      </w:r>
      <w:r w:rsidR="00504E76">
        <w:t>General Agreements</w:t>
      </w:r>
      <w:r w:rsidR="00E22E42">
        <w:t xml:space="preserve"> 2-200</w:t>
      </w:r>
      <w:r>
        <w:tab/>
      </w:r>
      <w:r w:rsidR="008528E8">
        <w:t>16-18</w:t>
      </w:r>
    </w:p>
    <w:p w14:paraId="6DFBB7DA" w14:textId="77777777" w:rsidR="00D71CBB" w:rsidRDefault="00D71CBB" w:rsidP="00D563AA">
      <w:pPr>
        <w:tabs>
          <w:tab w:val="left" w:pos="9072"/>
        </w:tabs>
      </w:pPr>
    </w:p>
    <w:p w14:paraId="53FA3413" w14:textId="0412138C" w:rsidR="005A1377" w:rsidRDefault="00EC71C3" w:rsidP="00D563AA">
      <w:pPr>
        <w:tabs>
          <w:tab w:val="left" w:pos="9072"/>
        </w:tabs>
      </w:pPr>
      <w:r>
        <w:tab/>
      </w:r>
    </w:p>
    <w:p w14:paraId="4484A3CC" w14:textId="2F8C9CF5" w:rsidR="005A1377" w:rsidRDefault="005A1377" w:rsidP="005A1377"/>
    <w:p w14:paraId="4AE1106E" w14:textId="07EAFC2A" w:rsidR="007E201A" w:rsidRPr="005A1377" w:rsidRDefault="007E201A" w:rsidP="005A1377">
      <w:pPr>
        <w:tabs>
          <w:tab w:val="left" w:pos="2153"/>
        </w:tabs>
        <w:sectPr w:rsidR="007E201A" w:rsidRPr="005A1377" w:rsidSect="005C2650">
          <w:headerReference w:type="default" r:id="rId11"/>
          <w:footerReference w:type="default" r:id="rId12"/>
          <w:pgSz w:w="12240" w:h="15840"/>
          <w:pgMar w:top="1987" w:right="1440" w:bottom="1728" w:left="360" w:header="720" w:footer="720" w:gutter="1800"/>
          <w:pgNumType w:start="11"/>
          <w:cols w:space="720"/>
          <w:docGrid w:linePitch="360"/>
        </w:sectPr>
      </w:pPr>
    </w:p>
    <w:p w14:paraId="6760753D" w14:textId="09F30CEC" w:rsidR="00DA05A3" w:rsidRPr="004A3A06" w:rsidRDefault="00D228B1" w:rsidP="00DA05A3">
      <w:pPr>
        <w:pStyle w:val="Heading8"/>
        <w:pBdr>
          <w:bottom w:val="single" w:sz="8" w:space="1" w:color="000000"/>
        </w:pBdr>
        <w:spacing w:before="120" w:after="0"/>
        <w:jc w:val="center"/>
        <w:rPr>
          <w:i w:val="0"/>
          <w:szCs w:val="32"/>
        </w:rPr>
      </w:pPr>
      <w:r>
        <w:rPr>
          <w:noProof/>
          <w:lang w:bidi="ar-SA"/>
        </w:rPr>
        <w:lastRenderedPageBreak/>
        <w:drawing>
          <wp:anchor distT="0" distB="0" distL="114300" distR="114300" simplePos="0" relativeHeight="251663360" behindDoc="0" locked="0" layoutInCell="1" allowOverlap="1" wp14:anchorId="4C61EC38" wp14:editId="6E9B3A2D">
            <wp:simplePos x="0" y="0"/>
            <wp:positionH relativeFrom="margin">
              <wp:posOffset>2043430</wp:posOffset>
            </wp:positionH>
            <wp:positionV relativeFrom="paragraph">
              <wp:posOffset>-52070</wp:posOffset>
            </wp:positionV>
            <wp:extent cx="1876425" cy="396240"/>
            <wp:effectExtent l="0" t="0" r="9525" b="381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7642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5A3" w:rsidRPr="004C7CBA">
        <w:rPr>
          <w:i w:val="0"/>
          <w:szCs w:val="32"/>
        </w:rPr>
        <w:t xml:space="preserve"> </w:t>
      </w:r>
      <w:r w:rsidR="00DA05A3" w:rsidRPr="004C7CBA">
        <w:rPr>
          <w:i w:val="0"/>
          <w:sz w:val="32"/>
          <w:szCs w:val="32"/>
        </w:rPr>
        <w:t xml:space="preserve">Chapter </w:t>
      </w:r>
      <w:r w:rsidR="00DA05A3">
        <w:rPr>
          <w:i w:val="0"/>
          <w:sz w:val="32"/>
          <w:szCs w:val="32"/>
        </w:rPr>
        <w:t>2</w:t>
      </w:r>
      <w:r w:rsidR="00DA05A3" w:rsidRPr="004C7CBA">
        <w:rPr>
          <w:i w:val="0"/>
          <w:sz w:val="32"/>
          <w:szCs w:val="32"/>
        </w:rPr>
        <w:t>-</w:t>
      </w:r>
      <w:r w:rsidR="00DA05A3">
        <w:rPr>
          <w:i w:val="0"/>
          <w:sz w:val="32"/>
          <w:szCs w:val="32"/>
        </w:rPr>
        <w:t>1</w:t>
      </w:r>
      <w:r w:rsidR="00DA05A3" w:rsidRPr="004C7CBA">
        <w:rPr>
          <w:i w:val="0"/>
          <w:sz w:val="32"/>
          <w:szCs w:val="32"/>
        </w:rPr>
        <w:t>00:</w:t>
      </w:r>
      <w:r w:rsidR="00DA05A3">
        <w:rPr>
          <w:i w:val="0"/>
          <w:sz w:val="32"/>
          <w:szCs w:val="32"/>
        </w:rPr>
        <w:t xml:space="preserve"> Conflict of Interest Code</w:t>
      </w:r>
    </w:p>
    <w:p w14:paraId="50208497" w14:textId="77777777" w:rsidR="0092354D" w:rsidRPr="00EE7DE7" w:rsidRDefault="0092354D" w:rsidP="0092354D">
      <w:pPr>
        <w:rPr>
          <w:rFonts w:cs="Arial"/>
        </w:rPr>
      </w:pPr>
    </w:p>
    <w:p w14:paraId="0A8B7CDC" w14:textId="77777777" w:rsidR="0092354D" w:rsidRDefault="0092354D" w:rsidP="0092354D">
      <w:pPr>
        <w:jc w:val="center"/>
        <w:rPr>
          <w:rFonts w:cs="Arial"/>
          <w:b/>
          <w:smallCaps/>
          <w:sz w:val="32"/>
          <w:szCs w:val="32"/>
        </w:rPr>
      </w:pPr>
      <w:r w:rsidRPr="00EE7DE7">
        <w:rPr>
          <w:rFonts w:cs="Arial"/>
          <w:b/>
          <w:smallCaps/>
          <w:sz w:val="32"/>
          <w:szCs w:val="32"/>
        </w:rPr>
        <w:t>Conflict of Interest Code</w:t>
      </w:r>
    </w:p>
    <w:p w14:paraId="2441BBE5" w14:textId="77777777" w:rsidR="0092354D" w:rsidRPr="00EE7DE7" w:rsidRDefault="0092354D" w:rsidP="0092354D">
      <w:pPr>
        <w:jc w:val="center"/>
        <w:rPr>
          <w:rFonts w:cs="Arial"/>
          <w:b/>
          <w:smallCaps/>
          <w:sz w:val="32"/>
          <w:szCs w:val="32"/>
        </w:rPr>
      </w:pPr>
      <w:r w:rsidRPr="00EE7DE7">
        <w:rPr>
          <w:rFonts w:cs="Arial"/>
          <w:b/>
          <w:smallCaps/>
          <w:sz w:val="32"/>
          <w:szCs w:val="32"/>
        </w:rPr>
        <w:t>of the</w:t>
      </w:r>
    </w:p>
    <w:p w14:paraId="08D20DF8" w14:textId="5D36763B" w:rsidR="0092354D" w:rsidRPr="00EE7DE7" w:rsidRDefault="0092354D" w:rsidP="0092354D">
      <w:pPr>
        <w:jc w:val="center"/>
        <w:rPr>
          <w:rFonts w:cs="Arial"/>
          <w:b/>
          <w:smallCaps/>
          <w:sz w:val="32"/>
          <w:szCs w:val="32"/>
        </w:rPr>
      </w:pPr>
      <w:r>
        <w:rPr>
          <w:rFonts w:cs="Arial"/>
          <w:b/>
          <w:smallCaps/>
          <w:sz w:val="32"/>
          <w:szCs w:val="32"/>
        </w:rPr>
        <w:t>Tehachapi Valley</w:t>
      </w:r>
      <w:r w:rsidRPr="00EE7DE7">
        <w:rPr>
          <w:rFonts w:cs="Arial"/>
          <w:b/>
          <w:smallCaps/>
          <w:sz w:val="32"/>
          <w:szCs w:val="32"/>
        </w:rPr>
        <w:t xml:space="preserve"> Recreation and </w:t>
      </w:r>
      <w:r>
        <w:rPr>
          <w:rFonts w:cs="Arial"/>
          <w:b/>
          <w:smallCaps/>
          <w:sz w:val="32"/>
          <w:szCs w:val="32"/>
        </w:rPr>
        <w:t>P</w:t>
      </w:r>
      <w:r w:rsidRPr="00EE7DE7">
        <w:rPr>
          <w:rFonts w:cs="Arial"/>
          <w:b/>
          <w:smallCaps/>
          <w:sz w:val="32"/>
          <w:szCs w:val="32"/>
        </w:rPr>
        <w:t>ark District</w:t>
      </w:r>
    </w:p>
    <w:p w14:paraId="7D6EAB65" w14:textId="77777777" w:rsidR="0092354D" w:rsidRPr="00EE7DE7" w:rsidRDefault="0092354D" w:rsidP="0092354D">
      <w:pPr>
        <w:jc w:val="center"/>
        <w:rPr>
          <w:rFonts w:cs="Arial"/>
          <w:b/>
          <w:smallCaps/>
          <w:sz w:val="32"/>
          <w:szCs w:val="32"/>
        </w:rPr>
      </w:pPr>
      <w:r w:rsidRPr="00EE7DE7">
        <w:rPr>
          <w:rFonts w:cs="Arial"/>
          <w:b/>
          <w:smallCaps/>
          <w:sz w:val="32"/>
          <w:szCs w:val="32"/>
        </w:rPr>
        <w:t>of the</w:t>
      </w:r>
    </w:p>
    <w:p w14:paraId="19B24CC3" w14:textId="77777777" w:rsidR="0092354D" w:rsidRPr="00EE7DE7" w:rsidRDefault="0092354D" w:rsidP="0092354D">
      <w:pPr>
        <w:jc w:val="center"/>
        <w:rPr>
          <w:rFonts w:cs="Arial"/>
          <w:b/>
          <w:smallCaps/>
          <w:sz w:val="32"/>
          <w:szCs w:val="32"/>
        </w:rPr>
      </w:pPr>
      <w:r w:rsidRPr="00EE7DE7">
        <w:rPr>
          <w:rFonts w:cs="Arial"/>
          <w:b/>
          <w:smallCaps/>
          <w:sz w:val="32"/>
          <w:szCs w:val="32"/>
        </w:rPr>
        <w:t>County of Kern</w:t>
      </w:r>
    </w:p>
    <w:p w14:paraId="68378D1C" w14:textId="77777777" w:rsidR="0092354D" w:rsidRPr="00EE7DE7" w:rsidRDefault="0092354D" w:rsidP="0092354D">
      <w:pPr>
        <w:spacing w:line="360" w:lineRule="auto"/>
        <w:rPr>
          <w:rFonts w:cs="Arial"/>
        </w:rPr>
      </w:pPr>
    </w:p>
    <w:p w14:paraId="362D54D2" w14:textId="7E2E1F69" w:rsidR="0092354D" w:rsidRPr="00EE7DE7" w:rsidRDefault="0092354D" w:rsidP="0092354D">
      <w:pPr>
        <w:rPr>
          <w:rFonts w:cs="Arial"/>
        </w:rPr>
      </w:pPr>
      <w:r w:rsidRPr="00EE7DE7">
        <w:rPr>
          <w:rFonts w:cs="Arial"/>
        </w:rPr>
        <w:t xml:space="preserve">The Political Reform Act, Government Code Section 81000, </w:t>
      </w:r>
      <w:r w:rsidRPr="00EE7DE7">
        <w:rPr>
          <w:rFonts w:cs="Arial"/>
          <w:u w:val="single"/>
        </w:rPr>
        <w:t>et seq.</w:t>
      </w:r>
      <w:r w:rsidRPr="00EE7DE7">
        <w:rPr>
          <w:rFonts w:cs="Arial"/>
        </w:rPr>
        <w:t>, requires state and local government agencies to adopt and promulgate conflict of interest codes.</w:t>
      </w:r>
      <w:r>
        <w:rPr>
          <w:rFonts w:cs="Arial"/>
        </w:rPr>
        <w:t xml:space="preserve"> </w:t>
      </w:r>
      <w:r w:rsidRPr="00EE7DE7">
        <w:rPr>
          <w:rFonts w:cs="Arial"/>
        </w:rPr>
        <w:t>The Fair Political Practices Commission has adopted regulations, 2 Cal. Code of Regs. Section 18730, which contain the terms of a standard conflict of interest code.</w:t>
      </w:r>
      <w:r>
        <w:rPr>
          <w:rFonts w:cs="Arial"/>
        </w:rPr>
        <w:t xml:space="preserve"> </w:t>
      </w:r>
      <w:r w:rsidRPr="00EE7DE7">
        <w:rPr>
          <w:rFonts w:cs="Arial"/>
        </w:rPr>
        <w:t xml:space="preserve">It can be incorporated by </w:t>
      </w:r>
      <w:proofErr w:type="gramStart"/>
      <w:r w:rsidRPr="00EE7DE7">
        <w:rPr>
          <w:rFonts w:cs="Arial"/>
        </w:rPr>
        <w:t>reference, and</w:t>
      </w:r>
      <w:proofErr w:type="gramEnd"/>
      <w:r w:rsidRPr="00EE7DE7">
        <w:rPr>
          <w:rFonts w:cs="Arial"/>
        </w:rPr>
        <w:t xml:space="preserve"> may be amended by the Fair Political Practices Commission after public notice and hearings to conform to amendments in the Political Reform Act.</w:t>
      </w:r>
      <w:r>
        <w:rPr>
          <w:rFonts w:cs="Arial"/>
        </w:rPr>
        <w:t xml:space="preserve"> </w:t>
      </w:r>
      <w:r w:rsidRPr="00EE7DE7">
        <w:rPr>
          <w:rFonts w:cs="Arial"/>
          <w:b/>
          <w:bCs/>
        </w:rPr>
        <w:t>Therefore, the terms of 2 Cal. Code of Regs. Section 18730 and any amendments to it duly adopted by the Fair Political Practices Commission are hereby incorporated by reference</w:t>
      </w:r>
      <w:r w:rsidRPr="00EE7DE7">
        <w:rPr>
          <w:rFonts w:cs="Arial"/>
        </w:rPr>
        <w:t xml:space="preserve"> and, along with the</w:t>
      </w:r>
      <w:r w:rsidRPr="00EE7DE7">
        <w:rPr>
          <w:rFonts w:cs="Arial"/>
          <w:b/>
          <w:bCs/>
        </w:rPr>
        <w:t xml:space="preserve"> attached Appendix</w:t>
      </w:r>
      <w:r w:rsidRPr="00EE7DE7">
        <w:rPr>
          <w:rFonts w:cs="Arial"/>
        </w:rPr>
        <w:t xml:space="preserve"> in which members and employees are designated and disclosure categories are set forth, constitute the </w:t>
      </w:r>
      <w:proofErr w:type="gramStart"/>
      <w:r w:rsidRPr="00EE7DE7">
        <w:rPr>
          <w:rFonts w:cs="Arial"/>
        </w:rPr>
        <w:t>conflict of interest</w:t>
      </w:r>
      <w:proofErr w:type="gramEnd"/>
      <w:r w:rsidRPr="00EE7DE7">
        <w:rPr>
          <w:rFonts w:cs="Arial"/>
        </w:rPr>
        <w:t xml:space="preserve"> code of the </w:t>
      </w:r>
      <w:r>
        <w:rPr>
          <w:rFonts w:cs="Arial"/>
        </w:rPr>
        <w:t>Tehachapi Valley</w:t>
      </w:r>
      <w:r w:rsidRPr="00EE7DE7">
        <w:rPr>
          <w:rFonts w:cs="Arial"/>
        </w:rPr>
        <w:t xml:space="preserve"> Recreation and Park District.</w:t>
      </w:r>
    </w:p>
    <w:p w14:paraId="041BDA7A" w14:textId="77777777" w:rsidR="0092354D" w:rsidRPr="00EE7DE7" w:rsidRDefault="0092354D" w:rsidP="0092354D">
      <w:pPr>
        <w:rPr>
          <w:rFonts w:cs="Arial"/>
        </w:rPr>
      </w:pPr>
    </w:p>
    <w:p w14:paraId="3B993A29" w14:textId="380063CB" w:rsidR="0092354D" w:rsidRPr="00EE7DE7" w:rsidRDefault="0092354D" w:rsidP="0092354D">
      <w:pPr>
        <w:rPr>
          <w:rFonts w:cs="Arial"/>
          <w:b/>
          <w:bCs/>
        </w:rPr>
      </w:pPr>
      <w:r w:rsidRPr="00EE7DE7">
        <w:rPr>
          <w:rFonts w:cs="Arial"/>
        </w:rPr>
        <w:t xml:space="preserve">Designated employees shall file their statements with the </w:t>
      </w:r>
      <w:r>
        <w:rPr>
          <w:rFonts w:cs="Arial"/>
        </w:rPr>
        <w:t>Tehachapi Valley</w:t>
      </w:r>
      <w:r w:rsidRPr="00EE7DE7">
        <w:rPr>
          <w:rFonts w:cs="Arial"/>
        </w:rPr>
        <w:t xml:space="preserve"> Recreation and Park District.</w:t>
      </w:r>
      <w:r>
        <w:rPr>
          <w:rFonts w:cs="Arial"/>
        </w:rPr>
        <w:t xml:space="preserve"> </w:t>
      </w:r>
      <w:r w:rsidRPr="00EE7DE7">
        <w:rPr>
          <w:rFonts w:cs="Arial"/>
        </w:rPr>
        <w:t>Upon receipt of the statements of economic interest of the head of the agency and Board of Directors, the agency shall make a copy of each and forward the originals of these statements to the Clerk of the Board of Supervisors, the filing officer with respect to these statements, who will make the statements available for public inspection and reproduction.</w:t>
      </w:r>
      <w:r>
        <w:rPr>
          <w:rFonts w:cs="Arial"/>
        </w:rPr>
        <w:t xml:space="preserve"> </w:t>
      </w:r>
      <w:r w:rsidRPr="00EE7DE7">
        <w:rPr>
          <w:rFonts w:cs="Arial"/>
        </w:rPr>
        <w:t>(Gov. Code Section 81008).</w:t>
      </w:r>
      <w:r>
        <w:rPr>
          <w:rFonts w:cs="Arial"/>
        </w:rPr>
        <w:t xml:space="preserve"> Tehachapi Valley</w:t>
      </w:r>
      <w:r w:rsidRPr="00137E54">
        <w:rPr>
          <w:rFonts w:cs="Arial"/>
        </w:rPr>
        <w:t xml:space="preserve"> Recreation and Park District will retain “copies” of the original statements of the head of the agency and B</w:t>
      </w:r>
      <w:r w:rsidR="00F811C5">
        <w:rPr>
          <w:rFonts w:cs="Arial"/>
        </w:rPr>
        <w:t>oard of Directors and “original</w:t>
      </w:r>
      <w:r w:rsidRPr="00137E54">
        <w:rPr>
          <w:rFonts w:cs="Arial"/>
        </w:rPr>
        <w:t>“ statements for all other designated employees.</w:t>
      </w:r>
      <w:r w:rsidRPr="00137E54">
        <w:rPr>
          <w:rFonts w:cs="Arial"/>
          <w:b/>
          <w:bCs/>
        </w:rPr>
        <w:t xml:space="preserve"> </w:t>
      </w:r>
    </w:p>
    <w:p w14:paraId="00590772" w14:textId="77777777" w:rsidR="0092354D" w:rsidRPr="00EE7DE7" w:rsidRDefault="0092354D" w:rsidP="0092354D">
      <w:pPr>
        <w:pStyle w:val="Heading1"/>
        <w:jc w:val="center"/>
        <w:rPr>
          <w:rFonts w:ascii="Calibri" w:hAnsi="Calibri"/>
          <w:b w:val="0"/>
          <w:bCs w:val="0"/>
          <w:szCs w:val="24"/>
          <w:u w:val="single"/>
        </w:rPr>
      </w:pPr>
    </w:p>
    <w:p w14:paraId="727F5E01" w14:textId="77777777" w:rsidR="0092354D" w:rsidRPr="00EE7DE7" w:rsidRDefault="0092354D" w:rsidP="0092354D">
      <w:pPr>
        <w:pStyle w:val="Heading1"/>
        <w:jc w:val="center"/>
        <w:rPr>
          <w:rFonts w:ascii="Calibri" w:hAnsi="Calibri" w:cs="Arial"/>
        </w:rPr>
      </w:pPr>
      <w:r w:rsidRPr="00EE7DE7">
        <w:rPr>
          <w:rFonts w:ascii="Calibri" w:hAnsi="Calibri" w:cs="Arial"/>
        </w:rPr>
        <w:t>APPENDIX A</w:t>
      </w:r>
    </w:p>
    <w:p w14:paraId="1B46320C" w14:textId="77777777" w:rsidR="0092354D" w:rsidRPr="00EE7DE7" w:rsidRDefault="0092354D" w:rsidP="0092354D">
      <w:pPr>
        <w:pStyle w:val="Heading1"/>
        <w:jc w:val="center"/>
        <w:rPr>
          <w:rFonts w:ascii="Calibri" w:hAnsi="Calibri" w:cs="Arial"/>
        </w:rPr>
      </w:pPr>
      <w:r w:rsidRPr="00EE7DE7">
        <w:rPr>
          <w:rFonts w:ascii="Calibri" w:hAnsi="Calibri" w:cs="Arial"/>
        </w:rPr>
        <w:t>DESIGNATED DISTRICT POSITIONS</w:t>
      </w:r>
    </w:p>
    <w:p w14:paraId="6EFAA496" w14:textId="77777777" w:rsidR="0092354D" w:rsidRPr="00EE7DE7" w:rsidRDefault="0092354D" w:rsidP="0092354D">
      <w:pPr>
        <w:pStyle w:val="Heading1"/>
        <w:rPr>
          <w:rFonts w:ascii="Calibri" w:hAnsi="Calibri"/>
          <w:b w:val="0"/>
          <w:bCs w:val="0"/>
          <w:szCs w:val="24"/>
        </w:rPr>
      </w:pPr>
    </w:p>
    <w:tbl>
      <w:tblPr>
        <w:tblW w:w="7830" w:type="dxa"/>
        <w:tblInd w:w="648" w:type="dxa"/>
        <w:tblLook w:val="0000" w:firstRow="0" w:lastRow="0" w:firstColumn="0" w:lastColumn="0" w:noHBand="0" w:noVBand="0"/>
      </w:tblPr>
      <w:tblGrid>
        <w:gridCol w:w="4500"/>
        <w:gridCol w:w="3330"/>
      </w:tblGrid>
      <w:tr w:rsidR="0092354D" w:rsidRPr="00EE7DE7" w14:paraId="7245CE95" w14:textId="77777777" w:rsidTr="001A0AF5">
        <w:tc>
          <w:tcPr>
            <w:tcW w:w="4500" w:type="dxa"/>
          </w:tcPr>
          <w:p w14:paraId="20891178" w14:textId="77777777" w:rsidR="0092354D" w:rsidRPr="00EE7DE7" w:rsidRDefault="0092354D" w:rsidP="001A0AF5">
            <w:pPr>
              <w:rPr>
                <w:rFonts w:cs="Arial"/>
                <w:b/>
              </w:rPr>
            </w:pPr>
            <w:r w:rsidRPr="00EE7DE7">
              <w:rPr>
                <w:rFonts w:cs="Arial"/>
                <w:b/>
              </w:rPr>
              <w:t>DESIGNATED POSITION</w:t>
            </w:r>
          </w:p>
        </w:tc>
        <w:tc>
          <w:tcPr>
            <w:tcW w:w="3330" w:type="dxa"/>
          </w:tcPr>
          <w:p w14:paraId="456FEF8D" w14:textId="77777777" w:rsidR="0092354D" w:rsidRPr="00EE7DE7" w:rsidRDefault="0092354D" w:rsidP="001A0AF5">
            <w:pPr>
              <w:rPr>
                <w:rFonts w:cs="Arial"/>
                <w:b/>
              </w:rPr>
            </w:pPr>
            <w:r>
              <w:rPr>
                <w:rFonts w:cs="Arial"/>
                <w:b/>
              </w:rPr>
              <w:t xml:space="preserve">             </w:t>
            </w:r>
            <w:r w:rsidRPr="00EE7DE7">
              <w:rPr>
                <w:rFonts w:cs="Arial"/>
                <w:b/>
              </w:rPr>
              <w:t>DISCLOSURE CATEGORY</w:t>
            </w:r>
          </w:p>
        </w:tc>
      </w:tr>
      <w:tr w:rsidR="0092354D" w:rsidRPr="00EE7DE7" w14:paraId="48CFD347" w14:textId="77777777" w:rsidTr="001A0AF5">
        <w:tc>
          <w:tcPr>
            <w:tcW w:w="4500" w:type="dxa"/>
          </w:tcPr>
          <w:p w14:paraId="7B132C93" w14:textId="77777777" w:rsidR="0092354D" w:rsidRPr="00EE7DE7" w:rsidRDefault="0092354D" w:rsidP="001A0AF5">
            <w:pPr>
              <w:rPr>
                <w:rFonts w:cs="Arial"/>
              </w:rPr>
            </w:pPr>
            <w:r w:rsidRPr="00EE7DE7">
              <w:rPr>
                <w:rFonts w:cs="Arial"/>
              </w:rPr>
              <w:t>Members of the Board of Directors</w:t>
            </w:r>
          </w:p>
        </w:tc>
        <w:tc>
          <w:tcPr>
            <w:tcW w:w="3330" w:type="dxa"/>
          </w:tcPr>
          <w:p w14:paraId="29A20CBF" w14:textId="77777777" w:rsidR="0092354D" w:rsidRPr="00EE7DE7" w:rsidRDefault="0092354D" w:rsidP="001A0AF5">
            <w:pPr>
              <w:rPr>
                <w:rFonts w:cs="Arial"/>
              </w:rPr>
            </w:pPr>
            <w:r w:rsidRPr="00EE7DE7">
              <w:rPr>
                <w:rFonts w:cs="Arial"/>
              </w:rPr>
              <w:t xml:space="preserve">             Category 1</w:t>
            </w:r>
          </w:p>
        </w:tc>
      </w:tr>
      <w:tr w:rsidR="0092354D" w:rsidRPr="00EE7DE7" w14:paraId="41DF9076" w14:textId="77777777" w:rsidTr="001A0AF5">
        <w:tc>
          <w:tcPr>
            <w:tcW w:w="4500" w:type="dxa"/>
          </w:tcPr>
          <w:p w14:paraId="67E9271A" w14:textId="77777777" w:rsidR="0092354D" w:rsidRPr="00EE7DE7" w:rsidRDefault="0092354D" w:rsidP="001A0AF5">
            <w:pPr>
              <w:rPr>
                <w:rFonts w:cs="Arial"/>
              </w:rPr>
            </w:pPr>
            <w:r w:rsidRPr="00EE7DE7">
              <w:rPr>
                <w:rFonts w:cs="Arial"/>
              </w:rPr>
              <w:t>District Manager</w:t>
            </w:r>
          </w:p>
        </w:tc>
        <w:tc>
          <w:tcPr>
            <w:tcW w:w="3330" w:type="dxa"/>
          </w:tcPr>
          <w:p w14:paraId="768E0841" w14:textId="77777777" w:rsidR="0092354D" w:rsidRPr="00EE7DE7" w:rsidRDefault="0092354D" w:rsidP="001A0AF5">
            <w:pPr>
              <w:rPr>
                <w:rFonts w:cs="Arial"/>
              </w:rPr>
            </w:pPr>
            <w:r w:rsidRPr="00EE7DE7">
              <w:rPr>
                <w:rFonts w:cs="Arial"/>
              </w:rPr>
              <w:t xml:space="preserve">             Category 1</w:t>
            </w:r>
          </w:p>
        </w:tc>
      </w:tr>
      <w:tr w:rsidR="0092354D" w:rsidRPr="00EE7DE7" w14:paraId="00F14AAE" w14:textId="77777777" w:rsidTr="001A0AF5">
        <w:tc>
          <w:tcPr>
            <w:tcW w:w="4500" w:type="dxa"/>
          </w:tcPr>
          <w:p w14:paraId="38B5D99B" w14:textId="77777777" w:rsidR="0092354D" w:rsidRPr="00EE7DE7" w:rsidRDefault="0092354D" w:rsidP="001A0AF5">
            <w:pPr>
              <w:rPr>
                <w:rFonts w:cs="Arial"/>
              </w:rPr>
            </w:pPr>
            <w:r w:rsidRPr="00EE7DE7">
              <w:rPr>
                <w:rFonts w:cs="Arial"/>
              </w:rPr>
              <w:t>District Legal Counsel</w:t>
            </w:r>
          </w:p>
        </w:tc>
        <w:tc>
          <w:tcPr>
            <w:tcW w:w="3330" w:type="dxa"/>
          </w:tcPr>
          <w:p w14:paraId="3369E7E0" w14:textId="77777777" w:rsidR="0092354D" w:rsidRPr="00EE7DE7" w:rsidRDefault="0092354D" w:rsidP="001A0AF5">
            <w:pPr>
              <w:rPr>
                <w:rFonts w:cs="Arial"/>
              </w:rPr>
            </w:pPr>
            <w:r w:rsidRPr="00EE7DE7">
              <w:rPr>
                <w:rFonts w:cs="Arial"/>
              </w:rPr>
              <w:t xml:space="preserve">             Category 1</w:t>
            </w:r>
          </w:p>
        </w:tc>
      </w:tr>
      <w:tr w:rsidR="0092354D" w:rsidRPr="00EE7DE7" w14:paraId="0DABAEEA" w14:textId="77777777" w:rsidTr="001A0AF5">
        <w:tc>
          <w:tcPr>
            <w:tcW w:w="4500" w:type="dxa"/>
          </w:tcPr>
          <w:p w14:paraId="43CAA192" w14:textId="753057A6" w:rsidR="0092354D" w:rsidRPr="00EE7DE7" w:rsidRDefault="003B0CA5" w:rsidP="001A0AF5">
            <w:pPr>
              <w:rPr>
                <w:rFonts w:cs="Arial"/>
              </w:rPr>
            </w:pPr>
            <w:r>
              <w:rPr>
                <w:rFonts w:cs="Arial"/>
              </w:rPr>
              <w:t>Park and Facility Maintenance Supervisor</w:t>
            </w:r>
          </w:p>
        </w:tc>
        <w:tc>
          <w:tcPr>
            <w:tcW w:w="3330" w:type="dxa"/>
          </w:tcPr>
          <w:p w14:paraId="4FA525E5" w14:textId="77777777" w:rsidR="0092354D" w:rsidRPr="00EE7DE7" w:rsidRDefault="0092354D" w:rsidP="001A0AF5">
            <w:pPr>
              <w:rPr>
                <w:rFonts w:cs="Arial"/>
              </w:rPr>
            </w:pPr>
            <w:r w:rsidRPr="00EE7DE7">
              <w:rPr>
                <w:rFonts w:cs="Arial"/>
              </w:rPr>
              <w:t xml:space="preserve">             Category 1</w:t>
            </w:r>
          </w:p>
        </w:tc>
      </w:tr>
      <w:tr w:rsidR="0092354D" w:rsidRPr="00EE7DE7" w14:paraId="66247ADA" w14:textId="77777777" w:rsidTr="001A0AF5">
        <w:tc>
          <w:tcPr>
            <w:tcW w:w="4500" w:type="dxa"/>
          </w:tcPr>
          <w:p w14:paraId="0F97D6CD" w14:textId="5A9F7104" w:rsidR="0092354D" w:rsidRDefault="0092354D" w:rsidP="001A0AF5">
            <w:pPr>
              <w:rPr>
                <w:rFonts w:cs="Arial"/>
              </w:rPr>
            </w:pPr>
            <w:r w:rsidRPr="00EE7DE7">
              <w:rPr>
                <w:rFonts w:cs="Arial"/>
              </w:rPr>
              <w:t xml:space="preserve">Recreation </w:t>
            </w:r>
            <w:r w:rsidR="003B0CA5">
              <w:rPr>
                <w:rFonts w:cs="Arial"/>
              </w:rPr>
              <w:t>Manager</w:t>
            </w:r>
          </w:p>
          <w:p w14:paraId="4C7701B9" w14:textId="77777777" w:rsidR="003B0CA5" w:rsidRDefault="003B0CA5" w:rsidP="001A0AF5">
            <w:pPr>
              <w:rPr>
                <w:rFonts w:cs="Arial"/>
              </w:rPr>
            </w:pPr>
            <w:r>
              <w:rPr>
                <w:rFonts w:cs="Arial"/>
              </w:rPr>
              <w:t xml:space="preserve">Tots Manager    </w:t>
            </w:r>
          </w:p>
          <w:p w14:paraId="0E620FFE" w14:textId="75070B83" w:rsidR="003B0CA5" w:rsidRPr="00EE7DE7" w:rsidRDefault="003B0CA5" w:rsidP="001A0AF5">
            <w:pPr>
              <w:rPr>
                <w:rFonts w:cs="Arial"/>
              </w:rPr>
            </w:pPr>
            <w:r>
              <w:rPr>
                <w:rFonts w:cs="Arial"/>
              </w:rPr>
              <w:t xml:space="preserve">Facility Supervisor                             </w:t>
            </w:r>
          </w:p>
        </w:tc>
        <w:tc>
          <w:tcPr>
            <w:tcW w:w="3330" w:type="dxa"/>
          </w:tcPr>
          <w:p w14:paraId="63F8CAB7" w14:textId="77777777" w:rsidR="003B0CA5" w:rsidRDefault="0092354D" w:rsidP="001A0AF5">
            <w:pPr>
              <w:rPr>
                <w:rFonts w:cs="Arial"/>
              </w:rPr>
            </w:pPr>
            <w:r w:rsidRPr="00EE7DE7">
              <w:rPr>
                <w:rFonts w:cs="Arial"/>
              </w:rPr>
              <w:t xml:space="preserve">             Categories 2 &amp; 3</w:t>
            </w:r>
          </w:p>
          <w:p w14:paraId="3FB3F892" w14:textId="77777777" w:rsidR="003B0CA5" w:rsidRDefault="003B0CA5" w:rsidP="001A0AF5">
            <w:pPr>
              <w:rPr>
                <w:rFonts w:cs="Arial"/>
              </w:rPr>
            </w:pPr>
            <w:r>
              <w:rPr>
                <w:rFonts w:cs="Arial"/>
              </w:rPr>
              <w:t xml:space="preserve">             </w:t>
            </w:r>
            <w:r w:rsidRPr="00EE7DE7">
              <w:rPr>
                <w:rFonts w:cs="Arial"/>
              </w:rPr>
              <w:t>Categories 2 &amp; 3</w:t>
            </w:r>
          </w:p>
          <w:p w14:paraId="630C339A" w14:textId="6EEDD951" w:rsidR="003B0CA5" w:rsidRPr="003B0CA5" w:rsidRDefault="003B0CA5" w:rsidP="003B0CA5">
            <w:pPr>
              <w:rPr>
                <w:rFonts w:cs="Arial"/>
              </w:rPr>
            </w:pPr>
            <w:r>
              <w:rPr>
                <w:rFonts w:cs="Arial"/>
              </w:rPr>
              <w:t xml:space="preserve">             </w:t>
            </w:r>
            <w:r w:rsidRPr="00EE7DE7">
              <w:rPr>
                <w:rFonts w:cs="Arial"/>
              </w:rPr>
              <w:t>Categories 2 &amp; 3</w:t>
            </w:r>
          </w:p>
        </w:tc>
      </w:tr>
      <w:tr w:rsidR="0092354D" w:rsidRPr="00EE7DE7" w14:paraId="08F0EBF4" w14:textId="77777777" w:rsidTr="001A0AF5">
        <w:tc>
          <w:tcPr>
            <w:tcW w:w="4500" w:type="dxa"/>
          </w:tcPr>
          <w:p w14:paraId="2089EA38" w14:textId="31BF8E15" w:rsidR="0092354D" w:rsidRPr="00C36A7B" w:rsidRDefault="003B0CA5" w:rsidP="001A0AF5">
            <w:pPr>
              <w:rPr>
                <w:rFonts w:cs="Arial"/>
              </w:rPr>
            </w:pPr>
            <w:r>
              <w:rPr>
                <w:rFonts w:cs="Arial"/>
              </w:rPr>
              <w:t>Business</w:t>
            </w:r>
            <w:r w:rsidR="0092354D" w:rsidRPr="00C36A7B">
              <w:rPr>
                <w:rFonts w:cs="Arial"/>
              </w:rPr>
              <w:t xml:space="preserve"> </w:t>
            </w:r>
            <w:r w:rsidR="0092354D">
              <w:rPr>
                <w:rFonts w:cs="Arial"/>
              </w:rPr>
              <w:t>Manager</w:t>
            </w:r>
          </w:p>
        </w:tc>
        <w:tc>
          <w:tcPr>
            <w:tcW w:w="3330" w:type="dxa"/>
          </w:tcPr>
          <w:p w14:paraId="65EB24D5" w14:textId="77777777" w:rsidR="0092354D" w:rsidRPr="00EE7DE7" w:rsidRDefault="0092354D" w:rsidP="001A0AF5">
            <w:pPr>
              <w:rPr>
                <w:rFonts w:cs="Arial"/>
              </w:rPr>
            </w:pPr>
            <w:r w:rsidRPr="00C36A7B">
              <w:rPr>
                <w:rFonts w:cs="Arial"/>
              </w:rPr>
              <w:t xml:space="preserve">             Categories 2 &amp; 3</w:t>
            </w:r>
          </w:p>
        </w:tc>
      </w:tr>
      <w:tr w:rsidR="0092354D" w:rsidRPr="00EE7DE7" w14:paraId="0E438C64" w14:textId="77777777" w:rsidTr="001A0AF5">
        <w:tc>
          <w:tcPr>
            <w:tcW w:w="4500" w:type="dxa"/>
          </w:tcPr>
          <w:p w14:paraId="1D98AAB0" w14:textId="77777777" w:rsidR="0092354D" w:rsidRPr="00EE7DE7" w:rsidRDefault="0092354D" w:rsidP="001A0AF5">
            <w:pPr>
              <w:rPr>
                <w:rFonts w:cs="Arial"/>
              </w:rPr>
            </w:pPr>
            <w:r w:rsidRPr="00EE7DE7">
              <w:rPr>
                <w:rFonts w:cs="Arial"/>
              </w:rPr>
              <w:t>Consultants</w:t>
            </w:r>
            <w:r w:rsidRPr="008C0597">
              <w:rPr>
                <w:rFonts w:cs="Arial"/>
                <w:bCs/>
              </w:rPr>
              <w:t>*</w:t>
            </w:r>
          </w:p>
        </w:tc>
        <w:tc>
          <w:tcPr>
            <w:tcW w:w="3330" w:type="dxa"/>
          </w:tcPr>
          <w:p w14:paraId="04D8DA83" w14:textId="77777777" w:rsidR="0092354D" w:rsidRPr="00EE7DE7" w:rsidRDefault="0092354D" w:rsidP="001A0AF5">
            <w:pPr>
              <w:rPr>
                <w:rFonts w:cs="Arial"/>
              </w:rPr>
            </w:pPr>
            <w:r>
              <w:rPr>
                <w:rFonts w:cs="Arial"/>
              </w:rPr>
              <w:t xml:space="preserve">             Category 1</w:t>
            </w:r>
            <w:r w:rsidRPr="00EE7DE7">
              <w:rPr>
                <w:rFonts w:cs="Arial"/>
              </w:rPr>
              <w:t>*</w:t>
            </w:r>
          </w:p>
        </w:tc>
      </w:tr>
    </w:tbl>
    <w:p w14:paraId="506D7FAA" w14:textId="77777777" w:rsidR="0092354D" w:rsidRPr="00EE7DE7" w:rsidRDefault="0092354D" w:rsidP="0092354D"/>
    <w:tbl>
      <w:tblPr>
        <w:tblW w:w="9270" w:type="dxa"/>
        <w:tblInd w:w="108" w:type="dxa"/>
        <w:tblLook w:val="0000" w:firstRow="0" w:lastRow="0" w:firstColumn="0" w:lastColumn="0" w:noHBand="0" w:noVBand="0"/>
      </w:tblPr>
      <w:tblGrid>
        <w:gridCol w:w="9270"/>
      </w:tblGrid>
      <w:tr w:rsidR="0092354D" w:rsidRPr="00EE7DE7" w14:paraId="48BF53DF" w14:textId="77777777" w:rsidTr="001A0AF5">
        <w:trPr>
          <w:cantSplit/>
        </w:trPr>
        <w:tc>
          <w:tcPr>
            <w:tcW w:w="9270" w:type="dxa"/>
          </w:tcPr>
          <w:p w14:paraId="13C78476" w14:textId="77777777" w:rsidR="0092354D" w:rsidRPr="008C0597" w:rsidRDefault="0092354D" w:rsidP="001A0AF5">
            <w:pPr>
              <w:ind w:left="522"/>
              <w:rPr>
                <w:rFonts w:cs="Arial"/>
              </w:rPr>
            </w:pPr>
            <w:r w:rsidRPr="008C0597">
              <w:rPr>
                <w:rFonts w:cs="Arial"/>
                <w:bCs/>
              </w:rPr>
              <w:t xml:space="preserve">* </w:t>
            </w:r>
            <w:r w:rsidRPr="008C0597">
              <w:rPr>
                <w:rFonts w:cs="Arial"/>
              </w:rPr>
              <w:t xml:space="preserve">Consultants shall be included in the list of designated employees and shall disclose pursuant to the broadest disclosure category in the code subject to the following limitation: </w:t>
            </w:r>
          </w:p>
          <w:p w14:paraId="68316554" w14:textId="77777777" w:rsidR="0092354D" w:rsidRPr="00EE7DE7" w:rsidRDefault="0092354D" w:rsidP="001A0AF5">
            <w:pPr>
              <w:rPr>
                <w:rFonts w:cs="Arial"/>
              </w:rPr>
            </w:pPr>
          </w:p>
          <w:p w14:paraId="4A0925C6" w14:textId="77777777" w:rsidR="0092354D" w:rsidRPr="00EE7DE7" w:rsidRDefault="0092354D" w:rsidP="001A0AF5">
            <w:pPr>
              <w:rPr>
                <w:rFonts w:cs="Arial"/>
              </w:rPr>
            </w:pPr>
            <w:r w:rsidRPr="00EE7DE7">
              <w:rPr>
                <w:rFonts w:cs="Arial"/>
              </w:rPr>
              <w:t xml:space="preserve">The </w:t>
            </w:r>
            <w:r>
              <w:rPr>
                <w:rFonts w:cs="Arial"/>
              </w:rPr>
              <w:t xml:space="preserve">District Manager </w:t>
            </w:r>
            <w:r w:rsidRPr="00EE7DE7">
              <w:rPr>
                <w:rFonts w:cs="Arial"/>
              </w:rPr>
              <w:t>may determine in writing that a particular consultant, although a “designated position” is hired to perform a range of duties that is limited in scope and thus is not required to fully comply with the disclosure requirement in this section.</w:t>
            </w:r>
            <w:r>
              <w:rPr>
                <w:rFonts w:cs="Arial"/>
              </w:rPr>
              <w:t xml:space="preserve"> </w:t>
            </w:r>
            <w:r w:rsidRPr="00EE7DE7">
              <w:rPr>
                <w:rFonts w:cs="Arial"/>
              </w:rPr>
              <w:t>Such written determination shall include a description of the consultant’s duties and, based upon that description, a statement of the extent of disclosure requirements.</w:t>
            </w:r>
            <w:r>
              <w:rPr>
                <w:rFonts w:cs="Arial"/>
              </w:rPr>
              <w:t xml:space="preserve"> </w:t>
            </w:r>
            <w:r w:rsidRPr="00EE7DE7">
              <w:rPr>
                <w:rFonts w:cs="Arial"/>
              </w:rPr>
              <w:t xml:space="preserve">The </w:t>
            </w:r>
            <w:r>
              <w:rPr>
                <w:rFonts w:cs="Arial"/>
              </w:rPr>
              <w:t>District</w:t>
            </w:r>
            <w:r w:rsidRPr="00EE7DE7">
              <w:rPr>
                <w:rFonts w:cs="Arial"/>
              </w:rPr>
              <w:t xml:space="preserve"> Manager’s determination is a public record and shall be retained for public inspection in the same manner and location as this Conflict of Interest Code.</w:t>
            </w:r>
          </w:p>
          <w:p w14:paraId="5BFB0A19" w14:textId="77777777" w:rsidR="0092354D" w:rsidRPr="00EE7DE7" w:rsidRDefault="0092354D" w:rsidP="001A0AF5">
            <w:pPr>
              <w:rPr>
                <w:rFonts w:cs="Arial"/>
              </w:rPr>
            </w:pPr>
          </w:p>
        </w:tc>
      </w:tr>
    </w:tbl>
    <w:p w14:paraId="6F017657" w14:textId="77777777" w:rsidR="0092354D" w:rsidRPr="00EE7DE7" w:rsidRDefault="0092354D" w:rsidP="0092354D"/>
    <w:p w14:paraId="2625C9C3" w14:textId="77777777" w:rsidR="0092354D" w:rsidRPr="00EE7DE7" w:rsidRDefault="0092354D" w:rsidP="0092354D">
      <w:pPr>
        <w:pStyle w:val="Header"/>
      </w:pPr>
    </w:p>
    <w:p w14:paraId="12BA15E2" w14:textId="77777777" w:rsidR="0092354D" w:rsidRPr="00EE7DE7" w:rsidRDefault="0092354D" w:rsidP="0092354D">
      <w:pPr>
        <w:pStyle w:val="Heading1"/>
        <w:jc w:val="center"/>
        <w:rPr>
          <w:rFonts w:ascii="Calibri" w:hAnsi="Calibri"/>
          <w:b w:val="0"/>
          <w:bCs w:val="0"/>
          <w:szCs w:val="24"/>
        </w:rPr>
      </w:pPr>
      <w:r w:rsidRPr="00EE7DE7">
        <w:rPr>
          <w:rFonts w:ascii="Calibri" w:hAnsi="Calibri"/>
          <w:b w:val="0"/>
          <w:szCs w:val="24"/>
        </w:rPr>
        <w:br w:type="page"/>
      </w:r>
    </w:p>
    <w:p w14:paraId="07E642FE" w14:textId="77777777" w:rsidR="0092354D" w:rsidRDefault="0092354D" w:rsidP="0092354D">
      <w:pPr>
        <w:pStyle w:val="Heading1"/>
        <w:jc w:val="center"/>
        <w:rPr>
          <w:rFonts w:ascii="Calibri" w:hAnsi="Calibri" w:cs="Arial"/>
        </w:rPr>
      </w:pPr>
    </w:p>
    <w:p w14:paraId="27A4AD1E" w14:textId="77777777" w:rsidR="0092354D" w:rsidRPr="00EE7DE7" w:rsidRDefault="0092354D" w:rsidP="0092354D">
      <w:pPr>
        <w:pStyle w:val="Heading1"/>
        <w:jc w:val="center"/>
        <w:rPr>
          <w:rFonts w:ascii="Calibri" w:hAnsi="Calibri" w:cs="Arial"/>
        </w:rPr>
      </w:pPr>
      <w:r w:rsidRPr="00EE7DE7">
        <w:rPr>
          <w:rFonts w:ascii="Calibri" w:hAnsi="Calibri" w:cs="Arial"/>
        </w:rPr>
        <w:t>APPENDIX B</w:t>
      </w:r>
    </w:p>
    <w:p w14:paraId="73921D21" w14:textId="77777777" w:rsidR="0092354D" w:rsidRPr="00EE7DE7" w:rsidRDefault="0092354D" w:rsidP="0092354D">
      <w:pPr>
        <w:pStyle w:val="Heading1"/>
        <w:jc w:val="center"/>
        <w:rPr>
          <w:rFonts w:ascii="Calibri" w:hAnsi="Calibri" w:cs="Arial"/>
        </w:rPr>
      </w:pPr>
      <w:r w:rsidRPr="00EE7DE7">
        <w:rPr>
          <w:rFonts w:ascii="Calibri" w:hAnsi="Calibri" w:cs="Arial"/>
        </w:rPr>
        <w:t>DISCLOSURE CATEGORIES</w:t>
      </w:r>
    </w:p>
    <w:p w14:paraId="477474E6" w14:textId="77777777" w:rsidR="0092354D" w:rsidRPr="00EE7DE7" w:rsidRDefault="0092354D" w:rsidP="0092354D">
      <w:pPr>
        <w:pStyle w:val="Heading1"/>
        <w:rPr>
          <w:rFonts w:ascii="Calibri" w:hAnsi="Calibri"/>
          <w:b w:val="0"/>
          <w:bCs w:val="0"/>
          <w:szCs w:val="24"/>
        </w:rPr>
      </w:pPr>
    </w:p>
    <w:p w14:paraId="59B56369" w14:textId="77777777" w:rsidR="0092354D" w:rsidRPr="00EE7DE7" w:rsidRDefault="0092354D" w:rsidP="0092354D">
      <w:pPr>
        <w:pStyle w:val="Heading1"/>
        <w:rPr>
          <w:rFonts w:ascii="Calibri" w:hAnsi="Calibri"/>
          <w:b w:val="0"/>
          <w:bCs w:val="0"/>
          <w:szCs w:val="24"/>
        </w:rPr>
      </w:pPr>
    </w:p>
    <w:p w14:paraId="1EB39467" w14:textId="77777777" w:rsidR="0092354D" w:rsidRPr="00EE7DE7" w:rsidRDefault="0092354D" w:rsidP="0092354D">
      <w:pPr>
        <w:pStyle w:val="Heading1"/>
        <w:rPr>
          <w:rFonts w:ascii="Calibri" w:hAnsi="Calibri" w:cs="Arial"/>
          <w:bCs w:val="0"/>
          <w:szCs w:val="24"/>
        </w:rPr>
      </w:pPr>
      <w:r w:rsidRPr="00EE7DE7">
        <w:rPr>
          <w:rFonts w:ascii="Calibri" w:hAnsi="Calibri" w:cs="Arial"/>
          <w:szCs w:val="24"/>
        </w:rPr>
        <w:t>Category 1</w:t>
      </w:r>
    </w:p>
    <w:p w14:paraId="6A51046A" w14:textId="77777777" w:rsidR="0092354D" w:rsidRPr="00EE7DE7" w:rsidRDefault="0092354D" w:rsidP="0092354D">
      <w:pPr>
        <w:rPr>
          <w:rFonts w:cs="Arial"/>
        </w:rPr>
      </w:pPr>
    </w:p>
    <w:p w14:paraId="41233DE9" w14:textId="77777777" w:rsidR="0092354D" w:rsidRPr="00EE7DE7" w:rsidRDefault="0092354D" w:rsidP="0092354D">
      <w:pPr>
        <w:rPr>
          <w:rFonts w:cs="Arial"/>
        </w:rPr>
      </w:pPr>
      <w:r w:rsidRPr="00EE7DE7">
        <w:rPr>
          <w:rFonts w:cs="Arial"/>
        </w:rPr>
        <w:t>A designated employee in this category must report all interests in real property located within the jurisdiction, as well as investments, business positions and sources of income, including gifts, loans and travel payments.</w:t>
      </w:r>
    </w:p>
    <w:p w14:paraId="000AE09A" w14:textId="77777777" w:rsidR="0092354D" w:rsidRPr="00EE7DE7" w:rsidRDefault="0092354D" w:rsidP="0092354D">
      <w:pPr>
        <w:rPr>
          <w:rFonts w:cs="Arial"/>
        </w:rPr>
      </w:pPr>
    </w:p>
    <w:p w14:paraId="3C5715F7" w14:textId="77777777" w:rsidR="0092354D" w:rsidRPr="00EE7DE7" w:rsidRDefault="0092354D" w:rsidP="0092354D">
      <w:pPr>
        <w:pStyle w:val="Heading1"/>
        <w:rPr>
          <w:rFonts w:ascii="Calibri" w:hAnsi="Calibri" w:cs="Arial"/>
          <w:bCs w:val="0"/>
          <w:szCs w:val="24"/>
        </w:rPr>
      </w:pPr>
      <w:r w:rsidRPr="00EE7DE7">
        <w:rPr>
          <w:rFonts w:ascii="Calibri" w:hAnsi="Calibri" w:cs="Arial"/>
          <w:szCs w:val="24"/>
        </w:rPr>
        <w:t>Category 2</w:t>
      </w:r>
    </w:p>
    <w:p w14:paraId="73F26A0A" w14:textId="77777777" w:rsidR="0092354D" w:rsidRPr="00EE7DE7" w:rsidRDefault="0092354D" w:rsidP="0092354D">
      <w:pPr>
        <w:rPr>
          <w:rFonts w:cs="Arial"/>
        </w:rPr>
      </w:pPr>
    </w:p>
    <w:p w14:paraId="35DAE9C9" w14:textId="77777777" w:rsidR="0092354D" w:rsidRPr="00EE7DE7" w:rsidRDefault="0092354D" w:rsidP="0092354D">
      <w:pPr>
        <w:rPr>
          <w:rFonts w:cs="Arial"/>
        </w:rPr>
      </w:pPr>
      <w:r w:rsidRPr="00EE7DE7">
        <w:rPr>
          <w:rFonts w:cs="Arial"/>
        </w:rPr>
        <w:t>A designated employee in this category must report all investments and business positions in, or income from business entities, including gifts, loans and travel payments, which manufacture or sell supplies, books, machinery or equipment of the type utilized by the department for which the designated employee is Manager or Director.</w:t>
      </w:r>
      <w:r>
        <w:rPr>
          <w:rFonts w:cs="Arial"/>
        </w:rPr>
        <w:t xml:space="preserve"> </w:t>
      </w:r>
    </w:p>
    <w:p w14:paraId="2A478A14" w14:textId="77777777" w:rsidR="0092354D" w:rsidRPr="00EE7DE7" w:rsidRDefault="0092354D" w:rsidP="0092354D">
      <w:pPr>
        <w:rPr>
          <w:rFonts w:cs="Arial"/>
        </w:rPr>
      </w:pPr>
    </w:p>
    <w:p w14:paraId="1588F4BD" w14:textId="77777777" w:rsidR="0092354D" w:rsidRPr="00EE7DE7" w:rsidRDefault="0092354D" w:rsidP="0092354D">
      <w:pPr>
        <w:pStyle w:val="Heading1"/>
        <w:rPr>
          <w:rFonts w:ascii="Calibri" w:hAnsi="Calibri" w:cs="Arial"/>
          <w:bCs w:val="0"/>
          <w:szCs w:val="24"/>
        </w:rPr>
      </w:pPr>
      <w:r w:rsidRPr="00EE7DE7">
        <w:rPr>
          <w:rFonts w:ascii="Calibri" w:hAnsi="Calibri" w:cs="Arial"/>
          <w:szCs w:val="24"/>
        </w:rPr>
        <w:t>Category 3</w:t>
      </w:r>
    </w:p>
    <w:p w14:paraId="4221B779" w14:textId="77777777" w:rsidR="0092354D" w:rsidRPr="00EE7DE7" w:rsidRDefault="0092354D" w:rsidP="0092354D">
      <w:pPr>
        <w:rPr>
          <w:rFonts w:cs="Arial"/>
        </w:rPr>
      </w:pPr>
    </w:p>
    <w:p w14:paraId="22887B5E" w14:textId="77777777" w:rsidR="0092354D" w:rsidRPr="00EE7DE7" w:rsidRDefault="0092354D" w:rsidP="0092354D">
      <w:pPr>
        <w:rPr>
          <w:rFonts w:cs="Arial"/>
        </w:rPr>
      </w:pPr>
      <w:r w:rsidRPr="00EE7DE7">
        <w:rPr>
          <w:rFonts w:cs="Arial"/>
        </w:rPr>
        <w:t>A designated employee in this category must report all investments and business positions in, or income from business entities, including gifts, loans</w:t>
      </w:r>
      <w:r>
        <w:rPr>
          <w:rFonts w:cs="Arial"/>
        </w:rPr>
        <w:t>,</w:t>
      </w:r>
      <w:r w:rsidRPr="00EE7DE7">
        <w:rPr>
          <w:rFonts w:cs="Arial"/>
        </w:rPr>
        <w:t xml:space="preserve"> and travel payments, which are contractors or subcontractors engaged in the performance of work or services of the type utilized by the department for which the designated employee is Manager or Director.</w:t>
      </w:r>
    </w:p>
    <w:p w14:paraId="667A4F3F" w14:textId="77777777" w:rsidR="00646BAA" w:rsidRDefault="00646BAA" w:rsidP="00D563AA">
      <w:pPr>
        <w:tabs>
          <w:tab w:val="left" w:pos="9072"/>
        </w:tabs>
        <w:sectPr w:rsidR="00646BAA" w:rsidSect="005C2650">
          <w:headerReference w:type="default" r:id="rId14"/>
          <w:footerReference w:type="default" r:id="rId15"/>
          <w:pgSz w:w="12240" w:h="15840"/>
          <w:pgMar w:top="1987" w:right="1440" w:bottom="1728" w:left="187" w:header="720" w:footer="720" w:gutter="1800"/>
          <w:pgNumType w:start="13"/>
          <w:cols w:space="720"/>
          <w:docGrid w:linePitch="360"/>
        </w:sectPr>
      </w:pPr>
    </w:p>
    <w:p w14:paraId="24451765" w14:textId="77777777" w:rsidR="00646BAA" w:rsidRDefault="00646BAA" w:rsidP="00D563AA">
      <w:pPr>
        <w:tabs>
          <w:tab w:val="left" w:pos="9072"/>
        </w:tabs>
      </w:pPr>
    </w:p>
    <w:p w14:paraId="5506B98E" w14:textId="6E734F58" w:rsidR="0092354D" w:rsidRPr="0080513B" w:rsidRDefault="00D228B1" w:rsidP="0092354D">
      <w:r>
        <w:rPr>
          <w:noProof/>
          <w:lang w:bidi="ar-SA"/>
        </w:rPr>
        <w:drawing>
          <wp:anchor distT="0" distB="0" distL="114300" distR="114300" simplePos="0" relativeHeight="251665408" behindDoc="0" locked="0" layoutInCell="1" allowOverlap="1" wp14:anchorId="45553D72" wp14:editId="129C7B4C">
            <wp:simplePos x="0" y="0"/>
            <wp:positionH relativeFrom="margin">
              <wp:posOffset>2052955</wp:posOffset>
            </wp:positionH>
            <wp:positionV relativeFrom="paragraph">
              <wp:posOffset>414655</wp:posOffset>
            </wp:positionV>
            <wp:extent cx="1428750" cy="361950"/>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4287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01652" w14:textId="417CDE92" w:rsidR="000F6DF5" w:rsidRPr="004A3A06" w:rsidRDefault="000F6DF5" w:rsidP="000F6DF5">
      <w:pPr>
        <w:pStyle w:val="Heading8"/>
        <w:pBdr>
          <w:bottom w:val="single" w:sz="8" w:space="1" w:color="000000"/>
        </w:pBdr>
        <w:spacing w:before="120" w:after="0"/>
        <w:jc w:val="center"/>
        <w:rPr>
          <w:i w:val="0"/>
          <w:szCs w:val="32"/>
        </w:rPr>
      </w:pPr>
      <w:r w:rsidRPr="004C7CBA">
        <w:rPr>
          <w:i w:val="0"/>
          <w:szCs w:val="32"/>
        </w:rPr>
        <w:t xml:space="preserve"> </w:t>
      </w:r>
      <w:r w:rsidRPr="004C7CBA">
        <w:rPr>
          <w:i w:val="0"/>
          <w:sz w:val="32"/>
          <w:szCs w:val="32"/>
        </w:rPr>
        <w:t xml:space="preserve">Chapter </w:t>
      </w:r>
      <w:r>
        <w:rPr>
          <w:i w:val="0"/>
          <w:sz w:val="32"/>
          <w:szCs w:val="32"/>
        </w:rPr>
        <w:t>2</w:t>
      </w:r>
      <w:r w:rsidRPr="004C7CBA">
        <w:rPr>
          <w:i w:val="0"/>
          <w:sz w:val="32"/>
          <w:szCs w:val="32"/>
        </w:rPr>
        <w:t>-</w:t>
      </w:r>
      <w:r>
        <w:rPr>
          <w:i w:val="0"/>
          <w:sz w:val="32"/>
          <w:szCs w:val="32"/>
        </w:rPr>
        <w:t>2</w:t>
      </w:r>
      <w:r w:rsidRPr="004C7CBA">
        <w:rPr>
          <w:i w:val="0"/>
          <w:sz w:val="32"/>
          <w:szCs w:val="32"/>
        </w:rPr>
        <w:t>00:</w:t>
      </w:r>
      <w:r>
        <w:rPr>
          <w:i w:val="0"/>
          <w:sz w:val="32"/>
          <w:szCs w:val="32"/>
        </w:rPr>
        <w:t xml:space="preserve"> General Agreements</w:t>
      </w:r>
    </w:p>
    <w:p w14:paraId="7E095A81" w14:textId="77777777" w:rsidR="0092354D" w:rsidRPr="0080513B" w:rsidRDefault="0092354D" w:rsidP="0092354D">
      <w:pPr>
        <w:pStyle w:val="Heading8"/>
        <w:rPr>
          <w:sz w:val="32"/>
          <w:szCs w:val="32"/>
        </w:rPr>
      </w:pPr>
      <w:r w:rsidRPr="0080513B">
        <w:rPr>
          <w:sz w:val="32"/>
          <w:szCs w:val="32"/>
        </w:rPr>
        <w:t>General Agreements</w:t>
      </w:r>
    </w:p>
    <w:p w14:paraId="47E20E2F" w14:textId="77777777" w:rsidR="0092354D" w:rsidRPr="0080513B" w:rsidRDefault="0092354D" w:rsidP="0092354D">
      <w:pPr>
        <w:rPr>
          <w:rFonts w:cs="Arial"/>
          <w:b/>
          <w:smallCaps/>
          <w:u w:val="single"/>
        </w:rPr>
      </w:pPr>
      <w:r w:rsidRPr="0080513B">
        <w:rPr>
          <w:rFonts w:cs="Arial"/>
          <w:b/>
          <w:smallCaps/>
          <w:u w:val="single"/>
        </w:rPr>
        <w:t>Purpose</w:t>
      </w:r>
    </w:p>
    <w:p w14:paraId="4646FCB6" w14:textId="77777777" w:rsidR="0092354D" w:rsidRPr="0080513B" w:rsidRDefault="0092354D" w:rsidP="0092354D">
      <w:pPr>
        <w:rPr>
          <w:rFonts w:cs="Arial"/>
          <w:b/>
          <w:smallCaps/>
        </w:rPr>
      </w:pPr>
    </w:p>
    <w:p w14:paraId="2C59B194" w14:textId="1832C2F1" w:rsidR="0092354D" w:rsidRPr="0080513B" w:rsidRDefault="0092354D" w:rsidP="0092354D">
      <w:pPr>
        <w:rPr>
          <w:rFonts w:cs="Arial"/>
        </w:rPr>
      </w:pPr>
      <w:r w:rsidRPr="0080513B">
        <w:rPr>
          <w:rFonts w:cs="Arial"/>
        </w:rPr>
        <w:t xml:space="preserve">In order to provide the greatest range of services possible to the community, it is the policy of </w:t>
      </w:r>
      <w:r>
        <w:rPr>
          <w:rFonts w:cs="Arial"/>
        </w:rPr>
        <w:t>Tehachapi Valley</w:t>
      </w:r>
      <w:r w:rsidRPr="0080513B">
        <w:rPr>
          <w:rFonts w:cs="Arial"/>
        </w:rPr>
        <w:t xml:space="preserve"> Recreation and Park District to encourage the development of cooperative agreements between public and private agencies whenever feasible if such agreements:</w:t>
      </w:r>
    </w:p>
    <w:p w14:paraId="07FE3DFB" w14:textId="77777777" w:rsidR="0092354D" w:rsidRPr="0080513B" w:rsidRDefault="0092354D" w:rsidP="0092354D">
      <w:pPr>
        <w:rPr>
          <w:rFonts w:cs="Arial"/>
        </w:rPr>
      </w:pPr>
    </w:p>
    <w:p w14:paraId="3F9C770A" w14:textId="77777777" w:rsidR="0092354D" w:rsidRPr="0080513B" w:rsidRDefault="0092354D" w:rsidP="0092354D">
      <w:pPr>
        <w:numPr>
          <w:ilvl w:val="0"/>
          <w:numId w:val="6"/>
        </w:numPr>
        <w:rPr>
          <w:rFonts w:cs="Arial"/>
        </w:rPr>
      </w:pPr>
      <w:r w:rsidRPr="0080513B">
        <w:rPr>
          <w:rFonts w:cs="Arial"/>
        </w:rPr>
        <w:t>Minimize du</w:t>
      </w:r>
      <w:r>
        <w:rPr>
          <w:rFonts w:cs="Arial"/>
        </w:rPr>
        <w:t xml:space="preserve">plication of efforts, equipment, </w:t>
      </w:r>
      <w:r w:rsidRPr="0080513B">
        <w:rPr>
          <w:rFonts w:cs="Arial"/>
        </w:rPr>
        <w:t xml:space="preserve">and </w:t>
      </w:r>
      <w:proofErr w:type="gramStart"/>
      <w:r w:rsidRPr="0080513B">
        <w:rPr>
          <w:rFonts w:cs="Arial"/>
        </w:rPr>
        <w:t>facilities;</w:t>
      </w:r>
      <w:proofErr w:type="gramEnd"/>
    </w:p>
    <w:p w14:paraId="708F7E97" w14:textId="77777777" w:rsidR="0092354D" w:rsidRPr="0080513B" w:rsidRDefault="0092354D" w:rsidP="0092354D">
      <w:pPr>
        <w:numPr>
          <w:ilvl w:val="0"/>
          <w:numId w:val="6"/>
        </w:numPr>
        <w:rPr>
          <w:rFonts w:cs="Arial"/>
        </w:rPr>
      </w:pPr>
      <w:r w:rsidRPr="0080513B">
        <w:rPr>
          <w:rFonts w:cs="Arial"/>
        </w:rPr>
        <w:t>Promote planned, integrated</w:t>
      </w:r>
      <w:r>
        <w:rPr>
          <w:rFonts w:cs="Arial"/>
        </w:rPr>
        <w:t>,</w:t>
      </w:r>
      <w:r w:rsidRPr="0080513B">
        <w:rPr>
          <w:rFonts w:cs="Arial"/>
        </w:rPr>
        <w:t xml:space="preserve"> and orderly development of the entire </w:t>
      </w:r>
      <w:proofErr w:type="gramStart"/>
      <w:r w:rsidRPr="0080513B">
        <w:rPr>
          <w:rFonts w:cs="Arial"/>
        </w:rPr>
        <w:t>community;</w:t>
      </w:r>
      <w:proofErr w:type="gramEnd"/>
    </w:p>
    <w:p w14:paraId="4BF85D64" w14:textId="77777777" w:rsidR="0092354D" w:rsidRPr="0080513B" w:rsidRDefault="0092354D" w:rsidP="0092354D">
      <w:pPr>
        <w:numPr>
          <w:ilvl w:val="0"/>
          <w:numId w:val="6"/>
        </w:numPr>
        <w:rPr>
          <w:rFonts w:cs="Arial"/>
        </w:rPr>
      </w:pPr>
      <w:proofErr w:type="gramStart"/>
      <w:r w:rsidRPr="0080513B">
        <w:rPr>
          <w:rFonts w:cs="Arial"/>
        </w:rPr>
        <w:t>Provide for</w:t>
      </w:r>
      <w:proofErr w:type="gramEnd"/>
      <w:r w:rsidRPr="0080513B">
        <w:rPr>
          <w:rFonts w:cs="Arial"/>
        </w:rPr>
        <w:t xml:space="preserve"> the greatest range of services possible at the lowest cost.</w:t>
      </w:r>
    </w:p>
    <w:p w14:paraId="1223ACF5" w14:textId="77777777" w:rsidR="0092354D" w:rsidRPr="0080513B" w:rsidRDefault="0092354D" w:rsidP="0092354D">
      <w:pPr>
        <w:rPr>
          <w:rFonts w:cs="Arial"/>
        </w:rPr>
      </w:pPr>
    </w:p>
    <w:p w14:paraId="7DAEEE7E" w14:textId="77777777" w:rsidR="0092354D" w:rsidRPr="0080513B" w:rsidRDefault="0092354D" w:rsidP="0092354D">
      <w:pPr>
        <w:rPr>
          <w:rFonts w:cs="Arial"/>
          <w:b/>
          <w:smallCaps/>
          <w:u w:val="single"/>
        </w:rPr>
      </w:pPr>
      <w:r w:rsidRPr="0080513B">
        <w:rPr>
          <w:rFonts w:cs="Arial"/>
          <w:b/>
          <w:smallCaps/>
          <w:u w:val="single"/>
        </w:rPr>
        <w:t>Nature of Agreements</w:t>
      </w:r>
    </w:p>
    <w:p w14:paraId="3B006085" w14:textId="77777777" w:rsidR="0092354D" w:rsidRPr="0080513B" w:rsidRDefault="0092354D" w:rsidP="0092354D">
      <w:pPr>
        <w:rPr>
          <w:rFonts w:cs="Arial"/>
          <w:b/>
          <w:smallCaps/>
        </w:rPr>
      </w:pPr>
    </w:p>
    <w:p w14:paraId="188394D4" w14:textId="77777777" w:rsidR="0092354D" w:rsidRPr="0080513B" w:rsidRDefault="0092354D" w:rsidP="0092354D">
      <w:pPr>
        <w:rPr>
          <w:rFonts w:cs="Arial"/>
        </w:rPr>
      </w:pPr>
      <w:r w:rsidRPr="0080513B">
        <w:rPr>
          <w:rFonts w:cs="Arial"/>
        </w:rPr>
        <w:t>Although the District makes use of informal, unwritten agreements under certain conditions, this practice is kept to a minimum.</w:t>
      </w:r>
      <w:r>
        <w:rPr>
          <w:rFonts w:cs="Arial"/>
        </w:rPr>
        <w:t xml:space="preserve"> </w:t>
      </w:r>
      <w:r w:rsidRPr="0080513B">
        <w:rPr>
          <w:rFonts w:cs="Arial"/>
        </w:rPr>
        <w:t xml:space="preserve">Written agreements constitute the majority of cooperative agreements in order to </w:t>
      </w:r>
      <w:proofErr w:type="gramStart"/>
      <w:r w:rsidRPr="0080513B">
        <w:rPr>
          <w:rFonts w:cs="Arial"/>
        </w:rPr>
        <w:t>insure</w:t>
      </w:r>
      <w:proofErr w:type="gramEnd"/>
      <w:r w:rsidRPr="0080513B">
        <w:rPr>
          <w:rFonts w:cs="Arial"/>
        </w:rPr>
        <w:t xml:space="preserve"> continuity, stability</w:t>
      </w:r>
      <w:r>
        <w:rPr>
          <w:rFonts w:cs="Arial"/>
        </w:rPr>
        <w:t>,</w:t>
      </w:r>
      <w:r w:rsidRPr="0080513B">
        <w:rPr>
          <w:rFonts w:cs="Arial"/>
        </w:rPr>
        <w:t xml:space="preserve"> and legality.</w:t>
      </w:r>
      <w:r>
        <w:rPr>
          <w:rFonts w:cs="Arial"/>
        </w:rPr>
        <w:t xml:space="preserve"> </w:t>
      </w:r>
    </w:p>
    <w:p w14:paraId="0AF13993" w14:textId="77777777" w:rsidR="0092354D" w:rsidRPr="0080513B" w:rsidRDefault="0092354D" w:rsidP="0092354D">
      <w:pPr>
        <w:rPr>
          <w:rFonts w:cs="Arial"/>
        </w:rPr>
      </w:pPr>
    </w:p>
    <w:p w14:paraId="633A647D" w14:textId="77777777" w:rsidR="0092354D" w:rsidRPr="0080513B" w:rsidRDefault="0092354D" w:rsidP="0092354D">
      <w:pPr>
        <w:rPr>
          <w:rFonts w:cs="Arial"/>
        </w:rPr>
      </w:pPr>
      <w:r w:rsidRPr="0080513B">
        <w:rPr>
          <w:rFonts w:cs="Arial"/>
        </w:rPr>
        <w:t>Such written agreements utilize policy statements, resolutions, leases</w:t>
      </w:r>
      <w:r>
        <w:rPr>
          <w:rFonts w:cs="Arial"/>
        </w:rPr>
        <w:t>,</w:t>
      </w:r>
      <w:r w:rsidRPr="0080513B">
        <w:rPr>
          <w:rFonts w:cs="Arial"/>
        </w:rPr>
        <w:t xml:space="preserve"> and binding contractual agreements.</w:t>
      </w:r>
      <w:r>
        <w:rPr>
          <w:rFonts w:cs="Arial"/>
        </w:rPr>
        <w:t xml:space="preserve"> </w:t>
      </w:r>
      <w:r w:rsidRPr="0080513B">
        <w:rPr>
          <w:rFonts w:cs="Arial"/>
        </w:rPr>
        <w:t>Each agreement entered will state in detail:</w:t>
      </w:r>
    </w:p>
    <w:p w14:paraId="522DF011" w14:textId="77777777" w:rsidR="0092354D" w:rsidRPr="0080513B" w:rsidRDefault="0092354D" w:rsidP="0092354D">
      <w:pPr>
        <w:rPr>
          <w:rFonts w:cs="Arial"/>
        </w:rPr>
      </w:pPr>
    </w:p>
    <w:p w14:paraId="475FA227" w14:textId="77777777" w:rsidR="0092354D" w:rsidRPr="0080513B" w:rsidRDefault="0092354D" w:rsidP="0092354D">
      <w:pPr>
        <w:numPr>
          <w:ilvl w:val="0"/>
          <w:numId w:val="2"/>
        </w:numPr>
        <w:rPr>
          <w:rFonts w:cs="Arial"/>
        </w:rPr>
      </w:pPr>
      <w:r w:rsidRPr="0080513B">
        <w:rPr>
          <w:rFonts w:cs="Arial"/>
        </w:rPr>
        <w:t xml:space="preserve">Specific areas of </w:t>
      </w:r>
      <w:proofErr w:type="gramStart"/>
      <w:r w:rsidRPr="0080513B">
        <w:rPr>
          <w:rFonts w:cs="Arial"/>
        </w:rPr>
        <w:t>agreement;</w:t>
      </w:r>
      <w:proofErr w:type="gramEnd"/>
    </w:p>
    <w:p w14:paraId="3ADC942D" w14:textId="77777777" w:rsidR="0092354D" w:rsidRPr="0080513B" w:rsidRDefault="0092354D" w:rsidP="0092354D">
      <w:pPr>
        <w:numPr>
          <w:ilvl w:val="0"/>
          <w:numId w:val="2"/>
        </w:numPr>
        <w:rPr>
          <w:rFonts w:cs="Arial"/>
        </w:rPr>
      </w:pPr>
      <w:r w:rsidRPr="0080513B">
        <w:rPr>
          <w:rFonts w:cs="Arial"/>
        </w:rPr>
        <w:t xml:space="preserve">Services and staffing to be provided by each </w:t>
      </w:r>
      <w:proofErr w:type="gramStart"/>
      <w:r w:rsidRPr="0080513B">
        <w:rPr>
          <w:rFonts w:cs="Arial"/>
        </w:rPr>
        <w:t>party;</w:t>
      </w:r>
      <w:proofErr w:type="gramEnd"/>
    </w:p>
    <w:p w14:paraId="3B2D4C4D" w14:textId="77777777" w:rsidR="0092354D" w:rsidRPr="0080513B" w:rsidRDefault="0092354D" w:rsidP="0092354D">
      <w:pPr>
        <w:numPr>
          <w:ilvl w:val="0"/>
          <w:numId w:val="2"/>
        </w:numPr>
        <w:rPr>
          <w:rFonts w:cs="Arial"/>
        </w:rPr>
      </w:pPr>
      <w:r w:rsidRPr="0080513B">
        <w:rPr>
          <w:rFonts w:cs="Arial"/>
        </w:rPr>
        <w:t xml:space="preserve">Financial responsibilities of each </w:t>
      </w:r>
      <w:proofErr w:type="gramStart"/>
      <w:r w:rsidRPr="0080513B">
        <w:rPr>
          <w:rFonts w:cs="Arial"/>
        </w:rPr>
        <w:t>party;</w:t>
      </w:r>
      <w:proofErr w:type="gramEnd"/>
    </w:p>
    <w:p w14:paraId="53D50A87" w14:textId="77777777" w:rsidR="0092354D" w:rsidRPr="0080513B" w:rsidRDefault="0092354D" w:rsidP="0092354D">
      <w:pPr>
        <w:numPr>
          <w:ilvl w:val="0"/>
          <w:numId w:val="2"/>
        </w:numPr>
        <w:rPr>
          <w:rFonts w:cs="Arial"/>
        </w:rPr>
      </w:pPr>
      <w:r w:rsidRPr="0080513B">
        <w:rPr>
          <w:rFonts w:cs="Arial"/>
        </w:rPr>
        <w:t xml:space="preserve">Length of </w:t>
      </w:r>
      <w:proofErr w:type="gramStart"/>
      <w:r w:rsidRPr="0080513B">
        <w:rPr>
          <w:rFonts w:cs="Arial"/>
        </w:rPr>
        <w:t>agreement;</w:t>
      </w:r>
      <w:proofErr w:type="gramEnd"/>
    </w:p>
    <w:p w14:paraId="2F01ADBE" w14:textId="77777777" w:rsidR="0092354D" w:rsidRPr="0080513B" w:rsidRDefault="0092354D" w:rsidP="0092354D">
      <w:pPr>
        <w:numPr>
          <w:ilvl w:val="0"/>
          <w:numId w:val="2"/>
        </w:numPr>
        <w:rPr>
          <w:rFonts w:cs="Arial"/>
        </w:rPr>
      </w:pPr>
      <w:r w:rsidRPr="0080513B">
        <w:rPr>
          <w:rFonts w:cs="Arial"/>
        </w:rPr>
        <w:t xml:space="preserve">Procedures for terminating the </w:t>
      </w:r>
      <w:proofErr w:type="gramStart"/>
      <w:r w:rsidRPr="0080513B">
        <w:rPr>
          <w:rFonts w:cs="Arial"/>
        </w:rPr>
        <w:t>agreement;</w:t>
      </w:r>
      <w:proofErr w:type="gramEnd"/>
    </w:p>
    <w:p w14:paraId="6E731D8C" w14:textId="77777777" w:rsidR="0092354D" w:rsidRPr="0080513B" w:rsidRDefault="0092354D" w:rsidP="0092354D">
      <w:pPr>
        <w:numPr>
          <w:ilvl w:val="0"/>
          <w:numId w:val="2"/>
        </w:numPr>
        <w:rPr>
          <w:rFonts w:cs="Arial"/>
        </w:rPr>
      </w:pPr>
      <w:r w:rsidRPr="0080513B">
        <w:rPr>
          <w:rFonts w:cs="Arial"/>
        </w:rPr>
        <w:t>Liabilities of each party; and</w:t>
      </w:r>
    </w:p>
    <w:p w14:paraId="514187A8" w14:textId="77777777" w:rsidR="0092354D" w:rsidRPr="0080513B" w:rsidRDefault="0092354D" w:rsidP="0092354D">
      <w:pPr>
        <w:numPr>
          <w:ilvl w:val="0"/>
          <w:numId w:val="2"/>
        </w:numPr>
        <w:rPr>
          <w:rFonts w:cs="Arial"/>
        </w:rPr>
      </w:pPr>
      <w:r w:rsidRPr="0080513B">
        <w:rPr>
          <w:rFonts w:cs="Arial"/>
        </w:rPr>
        <w:t>All other statements deemed necessary to clarify the agreement and make it legally binding.</w:t>
      </w:r>
    </w:p>
    <w:p w14:paraId="59FE255A" w14:textId="77777777" w:rsidR="0092354D" w:rsidRPr="0080513B" w:rsidRDefault="0092354D" w:rsidP="0092354D">
      <w:pPr>
        <w:rPr>
          <w:rFonts w:cs="Arial"/>
        </w:rPr>
      </w:pPr>
    </w:p>
    <w:p w14:paraId="62161F2E" w14:textId="6E6D5118" w:rsidR="0092354D" w:rsidRPr="0080513B" w:rsidRDefault="0092354D" w:rsidP="0092354D">
      <w:pPr>
        <w:rPr>
          <w:rFonts w:cs="Arial"/>
        </w:rPr>
      </w:pPr>
      <w:r>
        <w:rPr>
          <w:rFonts w:cs="Arial"/>
        </w:rPr>
        <w:lastRenderedPageBreak/>
        <w:t>All first-</w:t>
      </w:r>
      <w:r w:rsidRPr="0080513B">
        <w:rPr>
          <w:rFonts w:cs="Arial"/>
        </w:rPr>
        <w:t xml:space="preserve">time agreements and renewal agreements with significant changes entered into by the District will be reviewed by District legal counsel and approved and signed by the Board of Directors or by the </w:t>
      </w:r>
      <w:r>
        <w:rPr>
          <w:rFonts w:cs="Arial"/>
        </w:rPr>
        <w:t>District</w:t>
      </w:r>
      <w:r w:rsidRPr="0080513B">
        <w:rPr>
          <w:rFonts w:cs="Arial"/>
        </w:rPr>
        <w:t xml:space="preserve"> Manager as authorized by the Board.</w:t>
      </w:r>
    </w:p>
    <w:p w14:paraId="05B715B6" w14:textId="77777777" w:rsidR="0092354D" w:rsidRDefault="0092354D" w:rsidP="0092354D">
      <w:pPr>
        <w:rPr>
          <w:rFonts w:cs="Arial"/>
        </w:rPr>
      </w:pPr>
    </w:p>
    <w:p w14:paraId="5BC88D1B" w14:textId="77777777" w:rsidR="0092354D" w:rsidRPr="0080513B" w:rsidRDefault="0092354D" w:rsidP="0092354D">
      <w:pPr>
        <w:rPr>
          <w:rFonts w:cs="Arial"/>
        </w:rPr>
      </w:pPr>
      <w:r w:rsidRPr="0080513B">
        <w:rPr>
          <w:rFonts w:cs="Arial"/>
        </w:rPr>
        <w:t xml:space="preserve">The District will not enter into an agreement that is deemed by the </w:t>
      </w:r>
      <w:r>
        <w:rPr>
          <w:rFonts w:cs="Arial"/>
        </w:rPr>
        <w:t xml:space="preserve">TVRPD </w:t>
      </w:r>
      <w:r w:rsidRPr="0080513B">
        <w:rPr>
          <w:rFonts w:cs="Arial"/>
        </w:rPr>
        <w:t>Board of Directors:</w:t>
      </w:r>
    </w:p>
    <w:p w14:paraId="37DA222C" w14:textId="77777777" w:rsidR="0092354D" w:rsidRPr="0080513B" w:rsidRDefault="0092354D" w:rsidP="0092354D">
      <w:pPr>
        <w:rPr>
          <w:rFonts w:cs="Arial"/>
        </w:rPr>
      </w:pPr>
    </w:p>
    <w:p w14:paraId="465DB1E6" w14:textId="77777777" w:rsidR="0092354D" w:rsidRPr="0080513B" w:rsidRDefault="0092354D" w:rsidP="0092354D">
      <w:pPr>
        <w:numPr>
          <w:ilvl w:val="0"/>
          <w:numId w:val="7"/>
        </w:numPr>
        <w:rPr>
          <w:rFonts w:cs="Arial"/>
        </w:rPr>
      </w:pPr>
      <w:r w:rsidRPr="0080513B">
        <w:rPr>
          <w:rFonts w:cs="Arial"/>
        </w:rPr>
        <w:t xml:space="preserve">To be detrimental to the interests of the </w:t>
      </w:r>
      <w:proofErr w:type="gramStart"/>
      <w:r w:rsidRPr="0080513B">
        <w:rPr>
          <w:rFonts w:cs="Arial"/>
        </w:rPr>
        <w:t>District</w:t>
      </w:r>
      <w:proofErr w:type="gramEnd"/>
      <w:r w:rsidRPr="0080513B">
        <w:rPr>
          <w:rFonts w:cs="Arial"/>
        </w:rPr>
        <w:t xml:space="preserve"> or its citizens;</w:t>
      </w:r>
    </w:p>
    <w:p w14:paraId="137E9C13" w14:textId="77777777" w:rsidR="0092354D" w:rsidRPr="0080513B" w:rsidRDefault="0092354D" w:rsidP="0092354D">
      <w:pPr>
        <w:numPr>
          <w:ilvl w:val="0"/>
          <w:numId w:val="7"/>
        </w:numPr>
        <w:rPr>
          <w:rFonts w:cs="Arial"/>
        </w:rPr>
      </w:pPr>
      <w:r w:rsidRPr="0080513B">
        <w:rPr>
          <w:rFonts w:cs="Arial"/>
        </w:rPr>
        <w:t xml:space="preserve">Of no immediate interest to the District; or </w:t>
      </w:r>
    </w:p>
    <w:p w14:paraId="7B363E5E" w14:textId="77777777" w:rsidR="0092354D" w:rsidRPr="0080513B" w:rsidRDefault="0092354D" w:rsidP="0092354D">
      <w:pPr>
        <w:numPr>
          <w:ilvl w:val="0"/>
          <w:numId w:val="7"/>
        </w:numPr>
        <w:rPr>
          <w:rFonts w:cs="Arial"/>
        </w:rPr>
      </w:pPr>
      <w:r w:rsidRPr="0080513B">
        <w:rPr>
          <w:rFonts w:cs="Arial"/>
        </w:rPr>
        <w:t>Would significantly impact District operations.</w:t>
      </w:r>
    </w:p>
    <w:p w14:paraId="6B03A890" w14:textId="77777777" w:rsidR="0092354D" w:rsidRPr="0080513B" w:rsidRDefault="0092354D" w:rsidP="0092354D">
      <w:pPr>
        <w:rPr>
          <w:rFonts w:cs="Arial"/>
        </w:rPr>
      </w:pPr>
    </w:p>
    <w:p w14:paraId="06668571" w14:textId="77777777" w:rsidR="0092354D" w:rsidRPr="0080513B" w:rsidRDefault="0092354D" w:rsidP="0092354D">
      <w:pPr>
        <w:rPr>
          <w:rFonts w:cs="Arial"/>
        </w:rPr>
      </w:pPr>
      <w:r w:rsidRPr="0080513B">
        <w:rPr>
          <w:rFonts w:cs="Arial"/>
        </w:rPr>
        <w:t>The District will strive to arrive at agreements mutually beneficial to all parties concerned.</w:t>
      </w:r>
      <w:r>
        <w:rPr>
          <w:rFonts w:cs="Arial"/>
        </w:rPr>
        <w:t xml:space="preserve"> </w:t>
      </w:r>
    </w:p>
    <w:p w14:paraId="2619ED89" w14:textId="77777777" w:rsidR="0092354D" w:rsidRPr="0080513B" w:rsidRDefault="0092354D" w:rsidP="0092354D">
      <w:pPr>
        <w:rPr>
          <w:rFonts w:cs="Arial"/>
        </w:rPr>
      </w:pPr>
    </w:p>
    <w:p w14:paraId="4BBA5E0F" w14:textId="77777777" w:rsidR="0092354D" w:rsidRPr="0080513B" w:rsidRDefault="0092354D" w:rsidP="0092354D">
      <w:pPr>
        <w:rPr>
          <w:rFonts w:cs="Arial"/>
          <w:b/>
          <w:smallCaps/>
          <w:u w:val="single"/>
        </w:rPr>
      </w:pPr>
      <w:r w:rsidRPr="0080513B">
        <w:rPr>
          <w:rFonts w:cs="Arial"/>
          <w:b/>
          <w:smallCaps/>
          <w:u w:val="single"/>
        </w:rPr>
        <w:t>Enabling Legislation</w:t>
      </w:r>
    </w:p>
    <w:p w14:paraId="47B7559E" w14:textId="77777777" w:rsidR="0092354D" w:rsidRPr="0080513B" w:rsidRDefault="0092354D" w:rsidP="0092354D">
      <w:pPr>
        <w:rPr>
          <w:rFonts w:cs="Arial"/>
          <w:b/>
          <w:smallCaps/>
        </w:rPr>
      </w:pPr>
    </w:p>
    <w:p w14:paraId="5F5C6504" w14:textId="77777777" w:rsidR="0092354D" w:rsidRPr="0080513B" w:rsidRDefault="0092354D" w:rsidP="0092354D">
      <w:pPr>
        <w:rPr>
          <w:rFonts w:cs="Arial"/>
        </w:rPr>
      </w:pPr>
      <w:r w:rsidRPr="0080513B">
        <w:rPr>
          <w:rFonts w:cs="Arial"/>
        </w:rPr>
        <w:t>The statute providing primary authority to enter into agreements is Section 5786.1 (f) (k) of the Public Resources Code.</w:t>
      </w:r>
    </w:p>
    <w:p w14:paraId="769C2364" w14:textId="77777777" w:rsidR="0092354D" w:rsidRPr="0080513B" w:rsidRDefault="0092354D" w:rsidP="0092354D">
      <w:pPr>
        <w:rPr>
          <w:rFonts w:cs="Arial"/>
        </w:rPr>
      </w:pPr>
    </w:p>
    <w:p w14:paraId="5F06A478" w14:textId="77777777" w:rsidR="0092354D" w:rsidRPr="0080513B" w:rsidRDefault="0092354D" w:rsidP="0092354D">
      <w:pPr>
        <w:rPr>
          <w:rFonts w:cs="Arial"/>
          <w:b/>
          <w:smallCaps/>
          <w:u w:val="single"/>
        </w:rPr>
      </w:pPr>
      <w:r w:rsidRPr="0080513B">
        <w:rPr>
          <w:rFonts w:cs="Arial"/>
          <w:b/>
          <w:smallCaps/>
          <w:u w:val="single"/>
        </w:rPr>
        <w:t>School District Agreements</w:t>
      </w:r>
    </w:p>
    <w:p w14:paraId="1CE0743A" w14:textId="77777777" w:rsidR="0092354D" w:rsidRPr="0080513B" w:rsidRDefault="0092354D" w:rsidP="0092354D">
      <w:pPr>
        <w:rPr>
          <w:rFonts w:cs="Arial"/>
          <w:b/>
          <w:smallCaps/>
        </w:rPr>
      </w:pPr>
    </w:p>
    <w:p w14:paraId="69D7865F" w14:textId="72CCF2BD" w:rsidR="0092354D" w:rsidRPr="0080513B" w:rsidRDefault="0092354D" w:rsidP="0092354D">
      <w:pPr>
        <w:rPr>
          <w:rFonts w:cs="Arial"/>
        </w:rPr>
      </w:pPr>
      <w:r>
        <w:rPr>
          <w:rFonts w:cs="Arial"/>
        </w:rPr>
        <w:t>Tehachapi Valley</w:t>
      </w:r>
      <w:r w:rsidRPr="0080513B">
        <w:rPr>
          <w:rFonts w:cs="Arial"/>
        </w:rPr>
        <w:t xml:space="preserve"> Recreation and Park District recognizes the relationship between the public educational system and recreation services.</w:t>
      </w:r>
      <w:r>
        <w:rPr>
          <w:rFonts w:cs="Arial"/>
        </w:rPr>
        <w:t xml:space="preserve"> </w:t>
      </w:r>
      <w:r w:rsidRPr="0080513B">
        <w:rPr>
          <w:rFonts w:cs="Arial"/>
        </w:rPr>
        <w:t>It is the policy of the District to utilize, wherever possible, the park-school concept in order to achieve the most efficient use of land resources.</w:t>
      </w:r>
    </w:p>
    <w:p w14:paraId="0C4AD849" w14:textId="77777777" w:rsidR="0092354D" w:rsidRPr="0080513B" w:rsidRDefault="0092354D" w:rsidP="0092354D">
      <w:pPr>
        <w:rPr>
          <w:rFonts w:cs="Arial"/>
        </w:rPr>
      </w:pPr>
    </w:p>
    <w:p w14:paraId="2E581FF8" w14:textId="77777777" w:rsidR="0092354D" w:rsidRPr="0080513B" w:rsidRDefault="0092354D" w:rsidP="0092354D">
      <w:pPr>
        <w:rPr>
          <w:rFonts w:cs="Arial"/>
        </w:rPr>
      </w:pPr>
      <w:r w:rsidRPr="0080513B">
        <w:rPr>
          <w:rFonts w:cs="Arial"/>
        </w:rPr>
        <w:t>In addition to maintaining a planning relationship with the public educational system, the District will strive, in the appropriate circumstances, to develop agreements regarding:</w:t>
      </w:r>
    </w:p>
    <w:p w14:paraId="05CF3075" w14:textId="77777777" w:rsidR="0092354D" w:rsidRPr="0080513B" w:rsidRDefault="0092354D" w:rsidP="0092354D">
      <w:pPr>
        <w:rPr>
          <w:rFonts w:cs="Arial"/>
        </w:rPr>
      </w:pPr>
    </w:p>
    <w:p w14:paraId="7882B74A" w14:textId="77777777" w:rsidR="0092354D" w:rsidRPr="0080513B" w:rsidRDefault="0092354D" w:rsidP="0092354D">
      <w:pPr>
        <w:numPr>
          <w:ilvl w:val="0"/>
          <w:numId w:val="3"/>
        </w:numPr>
        <w:rPr>
          <w:rFonts w:cs="Arial"/>
        </w:rPr>
      </w:pPr>
      <w:r w:rsidRPr="0080513B">
        <w:rPr>
          <w:rFonts w:cs="Arial"/>
        </w:rPr>
        <w:t xml:space="preserve">Mutual use of facilities, equipment, </w:t>
      </w:r>
      <w:proofErr w:type="gramStart"/>
      <w:r w:rsidRPr="0080513B">
        <w:rPr>
          <w:rFonts w:cs="Arial"/>
        </w:rPr>
        <w:t>personnel;</w:t>
      </w:r>
      <w:proofErr w:type="gramEnd"/>
    </w:p>
    <w:p w14:paraId="49BE9A54" w14:textId="77777777" w:rsidR="0092354D" w:rsidRPr="0080513B" w:rsidRDefault="0092354D" w:rsidP="0092354D">
      <w:pPr>
        <w:numPr>
          <w:ilvl w:val="0"/>
          <w:numId w:val="3"/>
        </w:numPr>
        <w:rPr>
          <w:rFonts w:cs="Arial"/>
        </w:rPr>
      </w:pPr>
      <w:r w:rsidRPr="0080513B">
        <w:rPr>
          <w:rFonts w:cs="Arial"/>
        </w:rPr>
        <w:t xml:space="preserve">Mutual financing of specific </w:t>
      </w:r>
      <w:proofErr w:type="gramStart"/>
      <w:r w:rsidRPr="0080513B">
        <w:rPr>
          <w:rFonts w:cs="Arial"/>
        </w:rPr>
        <w:t>operations;</w:t>
      </w:r>
      <w:proofErr w:type="gramEnd"/>
    </w:p>
    <w:p w14:paraId="30335984" w14:textId="77777777" w:rsidR="0092354D" w:rsidRPr="0080513B" w:rsidRDefault="0092354D" w:rsidP="0092354D">
      <w:pPr>
        <w:numPr>
          <w:ilvl w:val="0"/>
          <w:numId w:val="3"/>
        </w:numPr>
        <w:rPr>
          <w:rFonts w:cs="Arial"/>
        </w:rPr>
      </w:pPr>
      <w:r w:rsidRPr="0080513B">
        <w:rPr>
          <w:rFonts w:cs="Arial"/>
        </w:rPr>
        <w:t>Circulation of public relations information; or</w:t>
      </w:r>
    </w:p>
    <w:p w14:paraId="3CFDDDFE" w14:textId="77777777" w:rsidR="0092354D" w:rsidRPr="0080513B" w:rsidRDefault="0092354D" w:rsidP="0092354D">
      <w:pPr>
        <w:numPr>
          <w:ilvl w:val="0"/>
          <w:numId w:val="3"/>
        </w:numPr>
        <w:rPr>
          <w:rFonts w:cs="Arial"/>
        </w:rPr>
      </w:pPr>
      <w:r w:rsidRPr="0080513B">
        <w:rPr>
          <w:rFonts w:cs="Arial"/>
        </w:rPr>
        <w:t>Exchange of research resources designed to produce better, more accurate knowledge in the field of recreation.</w:t>
      </w:r>
    </w:p>
    <w:p w14:paraId="723A2639" w14:textId="77777777" w:rsidR="0092354D" w:rsidRPr="0080513B" w:rsidRDefault="0092354D" w:rsidP="0092354D">
      <w:pPr>
        <w:rPr>
          <w:rFonts w:cs="Arial"/>
        </w:rPr>
      </w:pPr>
    </w:p>
    <w:p w14:paraId="3BD94774" w14:textId="77777777" w:rsidR="0092354D" w:rsidRPr="00B264C0" w:rsidRDefault="0092354D" w:rsidP="0092354D">
      <w:pPr>
        <w:pStyle w:val="Heading9"/>
        <w:rPr>
          <w:rFonts w:ascii="Calibri" w:hAnsi="Calibri"/>
          <w:b/>
          <w:bCs/>
          <w:u w:val="single"/>
        </w:rPr>
      </w:pPr>
      <w:r w:rsidRPr="00B264C0">
        <w:rPr>
          <w:rFonts w:ascii="Calibri" w:hAnsi="Calibri"/>
          <w:b/>
          <w:bCs/>
          <w:u w:val="single"/>
        </w:rPr>
        <w:t>County/City Agreements</w:t>
      </w:r>
    </w:p>
    <w:p w14:paraId="1996F29A" w14:textId="77777777" w:rsidR="0092354D" w:rsidRPr="0080513B" w:rsidRDefault="0092354D" w:rsidP="0092354D">
      <w:pPr>
        <w:rPr>
          <w:rFonts w:cs="Arial"/>
          <w:b/>
          <w:smallCaps/>
        </w:rPr>
      </w:pPr>
    </w:p>
    <w:p w14:paraId="4EE5C008" w14:textId="3B892197" w:rsidR="0092354D" w:rsidRPr="0080513B" w:rsidRDefault="0092354D" w:rsidP="0092354D">
      <w:pPr>
        <w:rPr>
          <w:rFonts w:cs="Arial"/>
        </w:rPr>
      </w:pPr>
      <w:r>
        <w:rPr>
          <w:rFonts w:cs="Arial"/>
        </w:rPr>
        <w:t>Tehachapi Valley</w:t>
      </w:r>
      <w:r w:rsidRPr="0080513B">
        <w:rPr>
          <w:rFonts w:cs="Arial"/>
        </w:rPr>
        <w:t xml:space="preserve"> Recreation and Park District recognizes the relationship between the District, the County and Cit</w:t>
      </w:r>
      <w:r>
        <w:rPr>
          <w:rFonts w:cs="Arial"/>
        </w:rPr>
        <w:t>y</w:t>
      </w:r>
      <w:r w:rsidRPr="0080513B">
        <w:rPr>
          <w:rFonts w:cs="Arial"/>
        </w:rPr>
        <w:t xml:space="preserve"> in providing the greatest range of services possible to the community.</w:t>
      </w:r>
      <w:r>
        <w:rPr>
          <w:rFonts w:cs="Arial"/>
        </w:rPr>
        <w:t xml:space="preserve"> </w:t>
      </w:r>
      <w:r w:rsidRPr="0080513B">
        <w:rPr>
          <w:rFonts w:cs="Arial"/>
        </w:rPr>
        <w:t>The District will strive, in the appropriate circumstances, to develop agreements regarding:</w:t>
      </w:r>
    </w:p>
    <w:p w14:paraId="5F04D4B0" w14:textId="77777777" w:rsidR="0092354D" w:rsidRPr="0080513B" w:rsidRDefault="0092354D" w:rsidP="0092354D">
      <w:pPr>
        <w:rPr>
          <w:rFonts w:cs="Arial"/>
        </w:rPr>
      </w:pPr>
    </w:p>
    <w:p w14:paraId="57603F59" w14:textId="77777777" w:rsidR="0092354D" w:rsidRDefault="0092354D" w:rsidP="0092354D">
      <w:pPr>
        <w:numPr>
          <w:ilvl w:val="0"/>
          <w:numId w:val="4"/>
        </w:numPr>
        <w:rPr>
          <w:rFonts w:cs="Arial"/>
        </w:rPr>
      </w:pPr>
      <w:r w:rsidRPr="0080513B">
        <w:rPr>
          <w:rFonts w:cs="Arial"/>
        </w:rPr>
        <w:t xml:space="preserve">County/City support in financing land acquisition and </w:t>
      </w:r>
      <w:proofErr w:type="gramStart"/>
      <w:r w:rsidRPr="0080513B">
        <w:rPr>
          <w:rFonts w:cs="Arial"/>
        </w:rPr>
        <w:t>development;</w:t>
      </w:r>
      <w:proofErr w:type="gramEnd"/>
    </w:p>
    <w:p w14:paraId="226B2A40" w14:textId="77777777" w:rsidR="0092354D" w:rsidRDefault="0092354D" w:rsidP="0092354D">
      <w:pPr>
        <w:ind w:left="432"/>
        <w:rPr>
          <w:rFonts w:cs="Arial"/>
        </w:rPr>
      </w:pPr>
    </w:p>
    <w:p w14:paraId="0440A8D4" w14:textId="77777777" w:rsidR="0092354D" w:rsidRPr="0080513B" w:rsidRDefault="0092354D" w:rsidP="0092354D">
      <w:pPr>
        <w:ind w:left="432"/>
        <w:rPr>
          <w:rFonts w:cs="Arial"/>
        </w:rPr>
      </w:pPr>
    </w:p>
    <w:p w14:paraId="3F997CBF" w14:textId="77777777" w:rsidR="0092354D" w:rsidRPr="0080513B" w:rsidRDefault="0092354D" w:rsidP="0092354D">
      <w:pPr>
        <w:rPr>
          <w:rFonts w:cs="Arial"/>
        </w:rPr>
      </w:pPr>
    </w:p>
    <w:p w14:paraId="7E5379E8" w14:textId="77777777" w:rsidR="0092354D" w:rsidRPr="0080513B" w:rsidRDefault="0092354D" w:rsidP="0092354D">
      <w:pPr>
        <w:numPr>
          <w:ilvl w:val="0"/>
          <w:numId w:val="4"/>
        </w:numPr>
        <w:rPr>
          <w:rFonts w:cs="Arial"/>
        </w:rPr>
      </w:pPr>
      <w:r w:rsidRPr="0080513B">
        <w:rPr>
          <w:rFonts w:cs="Arial"/>
        </w:rPr>
        <w:t xml:space="preserve">Mutual use of </w:t>
      </w:r>
      <w:proofErr w:type="gramStart"/>
      <w:r w:rsidRPr="0080513B">
        <w:rPr>
          <w:rFonts w:cs="Arial"/>
        </w:rPr>
        <w:t>facilities;</w:t>
      </w:r>
      <w:proofErr w:type="gramEnd"/>
    </w:p>
    <w:p w14:paraId="6378C745" w14:textId="77777777" w:rsidR="0092354D" w:rsidRPr="0080513B" w:rsidRDefault="0092354D" w:rsidP="0092354D">
      <w:pPr>
        <w:numPr>
          <w:ilvl w:val="0"/>
          <w:numId w:val="4"/>
        </w:numPr>
        <w:rPr>
          <w:rFonts w:cs="Arial"/>
        </w:rPr>
      </w:pPr>
      <w:r w:rsidRPr="0080513B">
        <w:rPr>
          <w:rFonts w:cs="Arial"/>
        </w:rPr>
        <w:t xml:space="preserve">Tax assessment and collection by the County for the </w:t>
      </w:r>
      <w:proofErr w:type="gramStart"/>
      <w:r w:rsidRPr="0080513B">
        <w:rPr>
          <w:rFonts w:cs="Arial"/>
        </w:rPr>
        <w:t>District;</w:t>
      </w:r>
      <w:proofErr w:type="gramEnd"/>
    </w:p>
    <w:p w14:paraId="2B818400" w14:textId="77777777" w:rsidR="0092354D" w:rsidRPr="0080513B" w:rsidRDefault="0092354D" w:rsidP="0092354D">
      <w:pPr>
        <w:numPr>
          <w:ilvl w:val="0"/>
          <w:numId w:val="4"/>
        </w:numPr>
        <w:rPr>
          <w:rFonts w:cs="Arial"/>
        </w:rPr>
      </w:pPr>
      <w:r w:rsidRPr="0080513B">
        <w:rPr>
          <w:rFonts w:cs="Arial"/>
        </w:rPr>
        <w:t xml:space="preserve">County/City provision of law enforcement services during program </w:t>
      </w:r>
      <w:proofErr w:type="gramStart"/>
      <w:r w:rsidRPr="0080513B">
        <w:rPr>
          <w:rFonts w:cs="Arial"/>
        </w:rPr>
        <w:t>activities;</w:t>
      </w:r>
      <w:proofErr w:type="gramEnd"/>
    </w:p>
    <w:p w14:paraId="22B1B6FD" w14:textId="77777777" w:rsidR="0092354D" w:rsidRPr="0080513B" w:rsidRDefault="0092354D" w:rsidP="0092354D">
      <w:pPr>
        <w:numPr>
          <w:ilvl w:val="0"/>
          <w:numId w:val="4"/>
        </w:numPr>
        <w:rPr>
          <w:rFonts w:cs="Arial"/>
        </w:rPr>
      </w:pPr>
      <w:r w:rsidRPr="0080513B">
        <w:rPr>
          <w:rFonts w:cs="Arial"/>
        </w:rPr>
        <w:t xml:space="preserve">County purchasing of specified items; and </w:t>
      </w:r>
    </w:p>
    <w:p w14:paraId="16C5CA39" w14:textId="77777777" w:rsidR="0092354D" w:rsidRPr="0080513B" w:rsidRDefault="0092354D" w:rsidP="0092354D">
      <w:pPr>
        <w:numPr>
          <w:ilvl w:val="0"/>
          <w:numId w:val="4"/>
        </w:numPr>
        <w:rPr>
          <w:rFonts w:cs="Arial"/>
        </w:rPr>
      </w:pPr>
      <w:r w:rsidRPr="0080513B">
        <w:rPr>
          <w:rFonts w:cs="Arial"/>
        </w:rPr>
        <w:t>Other such agreements encouraged in the effective service to the public</w:t>
      </w:r>
      <w:r>
        <w:rPr>
          <w:rFonts w:cs="Arial"/>
        </w:rPr>
        <w:t>.</w:t>
      </w:r>
    </w:p>
    <w:p w14:paraId="3CEBBD08" w14:textId="77777777" w:rsidR="0092354D" w:rsidRPr="0080513B" w:rsidRDefault="0092354D" w:rsidP="0092354D">
      <w:pPr>
        <w:rPr>
          <w:rFonts w:cs="Arial"/>
        </w:rPr>
      </w:pPr>
    </w:p>
    <w:p w14:paraId="3ABFAAF5" w14:textId="77777777" w:rsidR="0092354D" w:rsidRPr="00B264C0" w:rsidRDefault="0092354D" w:rsidP="0092354D">
      <w:pPr>
        <w:pStyle w:val="Heading9"/>
        <w:rPr>
          <w:rFonts w:ascii="Calibri" w:hAnsi="Calibri"/>
          <w:b/>
          <w:bCs/>
          <w:u w:val="single"/>
        </w:rPr>
      </w:pPr>
      <w:r w:rsidRPr="00B264C0">
        <w:rPr>
          <w:rFonts w:ascii="Calibri" w:hAnsi="Calibri"/>
          <w:b/>
          <w:bCs/>
          <w:u w:val="single"/>
        </w:rPr>
        <w:t>State and Federal Agreements</w:t>
      </w:r>
    </w:p>
    <w:p w14:paraId="660E44AE" w14:textId="77777777" w:rsidR="0092354D" w:rsidRPr="0080513B" w:rsidRDefault="0092354D" w:rsidP="0092354D">
      <w:pPr>
        <w:rPr>
          <w:rFonts w:cs="Arial"/>
          <w:b/>
          <w:smallCaps/>
        </w:rPr>
      </w:pPr>
    </w:p>
    <w:p w14:paraId="4C6DB295" w14:textId="77777777" w:rsidR="0092354D" w:rsidRPr="0080513B" w:rsidRDefault="0092354D" w:rsidP="0092354D">
      <w:pPr>
        <w:rPr>
          <w:rFonts w:cs="Arial"/>
        </w:rPr>
      </w:pPr>
      <w:r w:rsidRPr="0080513B">
        <w:rPr>
          <w:rFonts w:cs="Arial"/>
        </w:rPr>
        <w:t>Agreements with the State of California and the Federal government will revolve primarily around financial assistance in the form of grants and/or loans under State and Federally administered programs.</w:t>
      </w:r>
      <w:r>
        <w:rPr>
          <w:rFonts w:cs="Arial"/>
        </w:rPr>
        <w:t xml:space="preserve"> </w:t>
      </w:r>
    </w:p>
    <w:p w14:paraId="2768E322" w14:textId="77777777" w:rsidR="0092354D" w:rsidRPr="0080513B" w:rsidRDefault="0092354D" w:rsidP="0092354D">
      <w:pPr>
        <w:rPr>
          <w:rFonts w:cs="Arial"/>
        </w:rPr>
      </w:pPr>
    </w:p>
    <w:p w14:paraId="7DDE637E" w14:textId="77777777" w:rsidR="0092354D" w:rsidRPr="00B264C0" w:rsidRDefault="0092354D" w:rsidP="0092354D">
      <w:pPr>
        <w:pStyle w:val="Heading9"/>
        <w:rPr>
          <w:rFonts w:ascii="Calibri" w:hAnsi="Calibri"/>
          <w:b/>
          <w:bCs/>
          <w:u w:val="single"/>
        </w:rPr>
      </w:pPr>
      <w:r w:rsidRPr="00B264C0">
        <w:rPr>
          <w:rFonts w:ascii="Calibri" w:hAnsi="Calibri"/>
          <w:b/>
          <w:bCs/>
          <w:u w:val="single"/>
        </w:rPr>
        <w:t>Agreements with Private Business</w:t>
      </w:r>
    </w:p>
    <w:p w14:paraId="579BD84D" w14:textId="77777777" w:rsidR="0092354D" w:rsidRPr="0080513B" w:rsidRDefault="0092354D" w:rsidP="0092354D">
      <w:pPr>
        <w:rPr>
          <w:rFonts w:cs="Arial"/>
          <w:b/>
          <w:smallCaps/>
        </w:rPr>
      </w:pPr>
    </w:p>
    <w:p w14:paraId="10C5E1CF" w14:textId="77777777" w:rsidR="0092354D" w:rsidRPr="0080513B" w:rsidRDefault="0092354D" w:rsidP="0092354D">
      <w:pPr>
        <w:rPr>
          <w:rFonts w:cs="Arial"/>
        </w:rPr>
      </w:pPr>
      <w:r w:rsidRPr="0080513B">
        <w:rPr>
          <w:rFonts w:cs="Arial"/>
        </w:rPr>
        <w:t>The District may, in the course of its operations, enter into agreements with private businesses for any appropriate purpose deemed advantageous to the promotion or conduct of District functions.</w:t>
      </w:r>
      <w:r>
        <w:rPr>
          <w:rFonts w:cs="Arial"/>
        </w:rPr>
        <w:t xml:space="preserve"> </w:t>
      </w:r>
      <w:r w:rsidRPr="0080513B">
        <w:rPr>
          <w:rFonts w:cs="Arial"/>
        </w:rPr>
        <w:t>This includes, but is not limited to:</w:t>
      </w:r>
    </w:p>
    <w:p w14:paraId="127481E4" w14:textId="77777777" w:rsidR="0092354D" w:rsidRPr="0080513B" w:rsidRDefault="0092354D" w:rsidP="0092354D">
      <w:pPr>
        <w:rPr>
          <w:rFonts w:cs="Arial"/>
        </w:rPr>
      </w:pPr>
    </w:p>
    <w:p w14:paraId="1AA7CA71" w14:textId="77777777" w:rsidR="0092354D" w:rsidRPr="0080513B" w:rsidRDefault="0092354D" w:rsidP="0092354D">
      <w:pPr>
        <w:numPr>
          <w:ilvl w:val="0"/>
          <w:numId w:val="5"/>
        </w:numPr>
        <w:rPr>
          <w:rFonts w:cs="Arial"/>
        </w:rPr>
      </w:pPr>
      <w:r w:rsidRPr="0080513B">
        <w:rPr>
          <w:rFonts w:cs="Arial"/>
        </w:rPr>
        <w:t xml:space="preserve">Business sponsorship of District </w:t>
      </w:r>
      <w:proofErr w:type="gramStart"/>
      <w:r w:rsidRPr="0080513B">
        <w:rPr>
          <w:rFonts w:cs="Arial"/>
        </w:rPr>
        <w:t>activities;</w:t>
      </w:r>
      <w:proofErr w:type="gramEnd"/>
    </w:p>
    <w:p w14:paraId="320E16E3" w14:textId="77777777" w:rsidR="0092354D" w:rsidRPr="0080513B" w:rsidRDefault="0092354D" w:rsidP="0092354D">
      <w:pPr>
        <w:numPr>
          <w:ilvl w:val="0"/>
          <w:numId w:val="5"/>
        </w:numPr>
        <w:rPr>
          <w:rFonts w:cs="Arial"/>
        </w:rPr>
      </w:pPr>
      <w:r w:rsidRPr="0080513B">
        <w:rPr>
          <w:rFonts w:cs="Arial"/>
        </w:rPr>
        <w:t xml:space="preserve">Contractual agreements for the provision of services by </w:t>
      </w:r>
      <w:proofErr w:type="gramStart"/>
      <w:r w:rsidRPr="0080513B">
        <w:rPr>
          <w:rFonts w:cs="Arial"/>
        </w:rPr>
        <w:t>business;</w:t>
      </w:r>
      <w:proofErr w:type="gramEnd"/>
    </w:p>
    <w:p w14:paraId="6190C107" w14:textId="77777777" w:rsidR="0092354D" w:rsidRPr="0080513B" w:rsidRDefault="0092354D" w:rsidP="0092354D">
      <w:pPr>
        <w:numPr>
          <w:ilvl w:val="0"/>
          <w:numId w:val="5"/>
        </w:numPr>
        <w:rPr>
          <w:rFonts w:cs="Arial"/>
        </w:rPr>
      </w:pPr>
      <w:r w:rsidRPr="0080513B">
        <w:rPr>
          <w:rFonts w:cs="Arial"/>
        </w:rPr>
        <w:t>District use of facilities; or</w:t>
      </w:r>
    </w:p>
    <w:p w14:paraId="094A1D16" w14:textId="77777777" w:rsidR="0092354D" w:rsidRPr="0080513B" w:rsidRDefault="0092354D" w:rsidP="0092354D">
      <w:pPr>
        <w:numPr>
          <w:ilvl w:val="0"/>
          <w:numId w:val="5"/>
        </w:numPr>
        <w:rPr>
          <w:rFonts w:cs="Arial"/>
        </w:rPr>
      </w:pPr>
      <w:r w:rsidRPr="0080513B">
        <w:rPr>
          <w:rFonts w:cs="Arial"/>
        </w:rPr>
        <w:t>Other such agreements.</w:t>
      </w:r>
    </w:p>
    <w:p w14:paraId="2A320988" w14:textId="3C6D2F49" w:rsidR="0092354D" w:rsidRDefault="0092354D" w:rsidP="00D563AA">
      <w:pPr>
        <w:tabs>
          <w:tab w:val="left" w:pos="9072"/>
        </w:tabs>
      </w:pPr>
    </w:p>
    <w:sectPr w:rsidR="0092354D" w:rsidSect="005C2650">
      <w:headerReference w:type="default" r:id="rId16"/>
      <w:footerReference w:type="even" r:id="rId17"/>
      <w:footerReference w:type="default" r:id="rId18"/>
      <w:endnotePr>
        <w:numFmt w:val="decimal"/>
      </w:endnotePr>
      <w:pgSz w:w="12240" w:h="15840" w:code="1"/>
      <w:pgMar w:top="1987" w:right="1440" w:bottom="1728" w:left="187" w:header="720" w:footer="720" w:gutter="1800"/>
      <w:paperSrc w:first="1" w:other="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C2E9" w14:textId="77777777" w:rsidR="005C2650" w:rsidRDefault="005C2650" w:rsidP="00D71CBB">
      <w:r>
        <w:separator/>
      </w:r>
    </w:p>
  </w:endnote>
  <w:endnote w:type="continuationSeparator" w:id="0">
    <w:p w14:paraId="35FA22B0" w14:textId="77777777" w:rsidR="005C2650" w:rsidRDefault="005C2650" w:rsidP="00D7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799784"/>
      <w:docPartObj>
        <w:docPartGallery w:val="Page Numbers (Bottom of Page)"/>
        <w:docPartUnique/>
      </w:docPartObj>
    </w:sdtPr>
    <w:sdtEndPr>
      <w:rPr>
        <w:noProof/>
      </w:rPr>
    </w:sdtEndPr>
    <w:sdtContent>
      <w:p w14:paraId="20C75B6D" w14:textId="03B73344" w:rsidR="00B0089D" w:rsidRDefault="007E201A">
        <w:pPr>
          <w:pStyle w:val="Footer"/>
          <w:jc w:val="center"/>
        </w:pPr>
        <w:r>
          <w:t>12</w:t>
        </w:r>
      </w:p>
    </w:sdtContent>
  </w:sdt>
  <w:p w14:paraId="10DEF1C5" w14:textId="106154DB" w:rsidR="00DE75B0" w:rsidRPr="00DE6C17" w:rsidRDefault="00DE75B0" w:rsidP="00DE6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397616"/>
      <w:docPartObj>
        <w:docPartGallery w:val="Page Numbers (Bottom of Page)"/>
        <w:docPartUnique/>
      </w:docPartObj>
    </w:sdtPr>
    <w:sdtEndPr>
      <w:rPr>
        <w:noProof/>
      </w:rPr>
    </w:sdtEndPr>
    <w:sdtContent>
      <w:p w14:paraId="2086FE7D" w14:textId="59200FB7" w:rsidR="0000449E" w:rsidRDefault="0000449E">
        <w:pPr>
          <w:pStyle w:val="Footer"/>
          <w:jc w:val="center"/>
        </w:pPr>
        <w:r>
          <w:fldChar w:fldCharType="begin"/>
        </w:r>
        <w:r>
          <w:instrText xml:space="preserve"> PAGE   \* MERGEFORMAT </w:instrText>
        </w:r>
        <w:r>
          <w:fldChar w:fldCharType="separate"/>
        </w:r>
        <w:r w:rsidR="00D84A4B">
          <w:rPr>
            <w:noProof/>
          </w:rPr>
          <w:t>15</w:t>
        </w:r>
        <w:r>
          <w:rPr>
            <w:noProof/>
          </w:rPr>
          <w:fldChar w:fldCharType="end"/>
        </w:r>
      </w:p>
    </w:sdtContent>
  </w:sdt>
  <w:p w14:paraId="2DF30E24" w14:textId="0FE09893" w:rsidR="00646BAA" w:rsidRPr="00282096" w:rsidRDefault="00646BAA" w:rsidP="00B079F5">
    <w:pPr>
      <w:pStyle w:val="Footer"/>
      <w:tabs>
        <w:tab w:val="clear" w:pos="4680"/>
        <w:tab w:val="clear" w:pos="9360"/>
        <w:tab w:val="right" w:pos="8820"/>
      </w:tabs>
      <w:rPr>
        <w:sz w:val="1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7A63B" w14:textId="77777777" w:rsidR="00397C41" w:rsidRDefault="0092354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0E0F84F" w14:textId="77777777" w:rsidR="00397C41" w:rsidRDefault="00397C41">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488378"/>
      <w:docPartObj>
        <w:docPartGallery w:val="Page Numbers (Bottom of Page)"/>
        <w:docPartUnique/>
      </w:docPartObj>
    </w:sdtPr>
    <w:sdtEndPr>
      <w:rPr>
        <w:noProof/>
      </w:rPr>
    </w:sdtEndPr>
    <w:sdtContent>
      <w:p w14:paraId="2F744247" w14:textId="4185B2D2" w:rsidR="0000449E" w:rsidRDefault="0000449E">
        <w:pPr>
          <w:pStyle w:val="Footer"/>
          <w:jc w:val="center"/>
        </w:pPr>
        <w:r>
          <w:fldChar w:fldCharType="begin"/>
        </w:r>
        <w:r>
          <w:instrText xml:space="preserve"> PAGE   \* MERGEFORMAT </w:instrText>
        </w:r>
        <w:r>
          <w:fldChar w:fldCharType="separate"/>
        </w:r>
        <w:r w:rsidR="00D84A4B">
          <w:rPr>
            <w:noProof/>
          </w:rPr>
          <w:t>18</w:t>
        </w:r>
        <w:r>
          <w:rPr>
            <w:noProof/>
          </w:rPr>
          <w:fldChar w:fldCharType="end"/>
        </w:r>
      </w:p>
    </w:sdtContent>
  </w:sdt>
  <w:p w14:paraId="477B5B5C" w14:textId="5FC95A66" w:rsidR="00646BAA" w:rsidRPr="00DE6C17" w:rsidRDefault="00646BAA" w:rsidP="00DE6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BA235" w14:textId="77777777" w:rsidR="005C2650" w:rsidRDefault="005C2650" w:rsidP="00D71CBB">
      <w:r>
        <w:separator/>
      </w:r>
    </w:p>
  </w:footnote>
  <w:footnote w:type="continuationSeparator" w:id="0">
    <w:p w14:paraId="063913F3" w14:textId="77777777" w:rsidR="005C2650" w:rsidRDefault="005C2650" w:rsidP="00D7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816B6" w14:textId="07A9BCE8" w:rsidR="00DE75B0" w:rsidRDefault="00DE75B0" w:rsidP="00D71CBB">
    <w:pPr>
      <w:pStyle w:val="Header"/>
    </w:pPr>
  </w:p>
  <w:p w14:paraId="25BBFF3D" w14:textId="2516CC5D" w:rsidR="00DE75B0" w:rsidRDefault="00DE75B0" w:rsidP="00D71CBB">
    <w:pPr>
      <w:pStyle w:val="Header"/>
    </w:pPr>
  </w:p>
  <w:p w14:paraId="383B86B3" w14:textId="76AAC7E0" w:rsidR="00DE75B0" w:rsidRDefault="008654BF" w:rsidP="00D71CBB">
    <w:pPr>
      <w:pStyle w:val="Header"/>
      <w:jc w:val="center"/>
      <w:rPr>
        <w:color w:val="333399"/>
        <w:sz w:val="32"/>
      </w:rPr>
    </w:pPr>
    <w:r>
      <w:rPr>
        <w:noProof/>
        <w:lang w:bidi="ar-SA"/>
      </w:rPr>
      <w:drawing>
        <wp:anchor distT="0" distB="0" distL="114300" distR="114300" simplePos="0" relativeHeight="251662336" behindDoc="0" locked="0" layoutInCell="1" allowOverlap="1" wp14:anchorId="3E5A1F16" wp14:editId="13988517">
          <wp:simplePos x="0" y="0"/>
          <wp:positionH relativeFrom="margin">
            <wp:posOffset>1767205</wp:posOffset>
          </wp:positionH>
          <wp:positionV relativeFrom="paragraph">
            <wp:posOffset>113665</wp:posOffset>
          </wp:positionV>
          <wp:extent cx="1666875" cy="34290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687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E4487" w14:textId="77777777" w:rsidR="00DE75B0" w:rsidRDefault="00DE75B0" w:rsidP="00D71CBB">
    <w:pPr>
      <w:jc w:val="center"/>
      <w:rPr>
        <w:rFonts w:ascii="Arial" w:hAnsi="Arial" w:cs="Arial"/>
        <w:b/>
        <w:smallCaps/>
        <w:sz w:val="32"/>
      </w:rPr>
    </w:pPr>
  </w:p>
  <w:p w14:paraId="6477CD9A" w14:textId="77777777" w:rsidR="00DE75B0" w:rsidRDefault="00DE75B0" w:rsidP="00D71CBB">
    <w:pPr>
      <w:jc w:val="center"/>
      <w:rPr>
        <w:rFonts w:ascii="Arial" w:hAnsi="Arial" w:cs="Arial"/>
        <w:b/>
        <w:smallCaps/>
        <w:sz w:val="32"/>
      </w:rPr>
    </w:pPr>
  </w:p>
  <w:p w14:paraId="5EAB5C10" w14:textId="4EE76FEF" w:rsidR="00DE75B0" w:rsidRPr="007F4D13" w:rsidRDefault="00DE75B0" w:rsidP="00D71CBB">
    <w:pPr>
      <w:jc w:val="center"/>
      <w:rPr>
        <w:rFonts w:ascii="Arial" w:hAnsi="Arial" w:cs="Arial"/>
        <w:b/>
        <w:smallCaps/>
        <w:sz w:val="32"/>
      </w:rPr>
    </w:pPr>
    <w:r w:rsidRPr="007F4D13">
      <w:rPr>
        <w:rFonts w:ascii="Arial" w:hAnsi="Arial" w:cs="Arial"/>
        <w:b/>
        <w:smallCaps/>
        <w:sz w:val="32"/>
      </w:rPr>
      <w:t>Chapter 2: ADMINISTRATION</w:t>
    </w:r>
  </w:p>
  <w:p w14:paraId="6EF7C640" w14:textId="529C3D45" w:rsidR="00DE75B0" w:rsidRPr="007F4D13" w:rsidRDefault="00DE75B0" w:rsidP="00D71CBB">
    <w:pPr>
      <w:pStyle w:val="Header"/>
    </w:pPr>
  </w:p>
  <w:p w14:paraId="327D696E" w14:textId="4311C8A0" w:rsidR="00DE75B0" w:rsidRPr="00AD6204" w:rsidRDefault="00DE75B0" w:rsidP="00AD6204">
    <w:pPr>
      <w:jc w:val="center"/>
      <w:rPr>
        <w:rFonts w:ascii="Arial" w:hAnsi="Arial" w:cs="Arial"/>
        <w:smallCaps/>
        <w:sz w:val="32"/>
      </w:rPr>
    </w:pPr>
    <w:r w:rsidRPr="007F4D13">
      <w:rPr>
        <w:rFonts w:ascii="Arial" w:hAnsi="Arial" w:cs="Arial"/>
        <w:smallCaps/>
        <w:sz w:val="32"/>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72CB" w14:textId="27652B7C" w:rsidR="0092354D" w:rsidRPr="00B079F5" w:rsidRDefault="00B079F5" w:rsidP="00B079F5">
    <w:pPr>
      <w:jc w:val="right"/>
      <w:rPr>
        <w:rFonts w:ascii="Arial" w:hAnsi="Arial" w:cs="Arial"/>
        <w:smallCaps/>
        <w:sz w:val="32"/>
      </w:rPr>
    </w:pPr>
    <w:r w:rsidRPr="00B079F5">
      <w:rPr>
        <w:sz w:val="22"/>
      </w:rPr>
      <w:t xml:space="preserve">CHAPTER </w:t>
    </w:r>
    <w:r>
      <w:rPr>
        <w:sz w:val="22"/>
      </w:rPr>
      <w:t>2</w:t>
    </w:r>
    <w:r w:rsidRPr="00B079F5">
      <w:rPr>
        <w:sz w:val="22"/>
      </w:rPr>
      <w:t xml:space="preserve">-100: </w:t>
    </w:r>
    <w:r>
      <w:rPr>
        <w:sz w:val="22"/>
      </w:rPr>
      <w:t>Conflict of Interest Code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731B6" w14:textId="4655BA9F" w:rsidR="00397C41" w:rsidRPr="00B079F5" w:rsidRDefault="00B079F5" w:rsidP="00B079F5">
    <w:pPr>
      <w:pStyle w:val="Header"/>
      <w:jc w:val="right"/>
    </w:pPr>
    <w:r w:rsidRPr="00B079F5">
      <w:rPr>
        <w:sz w:val="22"/>
      </w:rPr>
      <w:t xml:space="preserve">CHAPTER </w:t>
    </w:r>
    <w:r w:rsidR="00145460">
      <w:rPr>
        <w:sz w:val="22"/>
      </w:rPr>
      <w:t>2-200</w:t>
    </w:r>
    <w:r w:rsidRPr="00B079F5">
      <w:rPr>
        <w:sz w:val="22"/>
      </w:rPr>
      <w:t xml:space="preserve">: </w:t>
    </w:r>
    <w:r>
      <w:rPr>
        <w:sz w:val="22"/>
      </w:rPr>
      <w:t>General Agreements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1C4F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9567E0"/>
    <w:multiLevelType w:val="hybridMultilevel"/>
    <w:tmpl w:val="B5480D08"/>
    <w:lvl w:ilvl="0" w:tplc="1B668D88">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EB7F20"/>
    <w:multiLevelType w:val="hybridMultilevel"/>
    <w:tmpl w:val="9ED263DE"/>
    <w:lvl w:ilvl="0" w:tplc="1B668D88">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600586"/>
    <w:multiLevelType w:val="hybridMultilevel"/>
    <w:tmpl w:val="34643D24"/>
    <w:lvl w:ilvl="0" w:tplc="1B668D88">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272092"/>
    <w:multiLevelType w:val="hybridMultilevel"/>
    <w:tmpl w:val="5B8EE7D6"/>
    <w:lvl w:ilvl="0" w:tplc="1B668D88">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6026F0"/>
    <w:multiLevelType w:val="hybridMultilevel"/>
    <w:tmpl w:val="E94A4256"/>
    <w:lvl w:ilvl="0" w:tplc="1B668D88">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D5B20"/>
    <w:multiLevelType w:val="hybridMultilevel"/>
    <w:tmpl w:val="37344BE2"/>
    <w:lvl w:ilvl="0" w:tplc="1B668D88">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878956">
    <w:abstractNumId w:val="0"/>
  </w:num>
  <w:num w:numId="2" w16cid:durableId="1783649688">
    <w:abstractNumId w:val="1"/>
  </w:num>
  <w:num w:numId="3" w16cid:durableId="1196119674">
    <w:abstractNumId w:val="5"/>
  </w:num>
  <w:num w:numId="4" w16cid:durableId="1268348655">
    <w:abstractNumId w:val="2"/>
  </w:num>
  <w:num w:numId="5" w16cid:durableId="887881898">
    <w:abstractNumId w:val="4"/>
  </w:num>
  <w:num w:numId="6" w16cid:durableId="82846888">
    <w:abstractNumId w:val="3"/>
  </w:num>
  <w:num w:numId="7" w16cid:durableId="571307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F1"/>
    <w:rsid w:val="0000449E"/>
    <w:rsid w:val="000101B3"/>
    <w:rsid w:val="00010EF1"/>
    <w:rsid w:val="00022265"/>
    <w:rsid w:val="00040981"/>
    <w:rsid w:val="000C486B"/>
    <w:rsid w:val="000F1E6E"/>
    <w:rsid w:val="000F6DF5"/>
    <w:rsid w:val="0013352A"/>
    <w:rsid w:val="00145460"/>
    <w:rsid w:val="0015315A"/>
    <w:rsid w:val="00154DF1"/>
    <w:rsid w:val="0017032E"/>
    <w:rsid w:val="00185B06"/>
    <w:rsid w:val="00196D76"/>
    <w:rsid w:val="00252B5D"/>
    <w:rsid w:val="00261DB4"/>
    <w:rsid w:val="00282096"/>
    <w:rsid w:val="002C44BB"/>
    <w:rsid w:val="00313422"/>
    <w:rsid w:val="003309D6"/>
    <w:rsid w:val="00366A32"/>
    <w:rsid w:val="00397C41"/>
    <w:rsid w:val="003A6B0E"/>
    <w:rsid w:val="003B0CA5"/>
    <w:rsid w:val="004347FF"/>
    <w:rsid w:val="00445203"/>
    <w:rsid w:val="00453434"/>
    <w:rsid w:val="00496224"/>
    <w:rsid w:val="004C18DE"/>
    <w:rsid w:val="004C2CA2"/>
    <w:rsid w:val="004E2179"/>
    <w:rsid w:val="00504E76"/>
    <w:rsid w:val="0052284A"/>
    <w:rsid w:val="00532C48"/>
    <w:rsid w:val="005A1377"/>
    <w:rsid w:val="005C0A03"/>
    <w:rsid w:val="005C2650"/>
    <w:rsid w:val="005E146B"/>
    <w:rsid w:val="0063236B"/>
    <w:rsid w:val="00646BAA"/>
    <w:rsid w:val="006A7B39"/>
    <w:rsid w:val="006D5A6F"/>
    <w:rsid w:val="007A3260"/>
    <w:rsid w:val="007E201A"/>
    <w:rsid w:val="007F4D13"/>
    <w:rsid w:val="00844DA4"/>
    <w:rsid w:val="008528E8"/>
    <w:rsid w:val="00857EB2"/>
    <w:rsid w:val="008654BF"/>
    <w:rsid w:val="008756C0"/>
    <w:rsid w:val="00880D95"/>
    <w:rsid w:val="008E5D70"/>
    <w:rsid w:val="0092354D"/>
    <w:rsid w:val="00930F22"/>
    <w:rsid w:val="009349FE"/>
    <w:rsid w:val="00992C3A"/>
    <w:rsid w:val="009C181F"/>
    <w:rsid w:val="009F5D9D"/>
    <w:rsid w:val="00A34E0A"/>
    <w:rsid w:val="00A371E3"/>
    <w:rsid w:val="00AD6204"/>
    <w:rsid w:val="00AF4494"/>
    <w:rsid w:val="00B0089D"/>
    <w:rsid w:val="00B02804"/>
    <w:rsid w:val="00B079F5"/>
    <w:rsid w:val="00B14BF1"/>
    <w:rsid w:val="00B1580A"/>
    <w:rsid w:val="00B24B3C"/>
    <w:rsid w:val="00B264C0"/>
    <w:rsid w:val="00B34638"/>
    <w:rsid w:val="00BB26C8"/>
    <w:rsid w:val="00C00D1B"/>
    <w:rsid w:val="00C06192"/>
    <w:rsid w:val="00C44E00"/>
    <w:rsid w:val="00CA3A5A"/>
    <w:rsid w:val="00D0144B"/>
    <w:rsid w:val="00D21B1D"/>
    <w:rsid w:val="00D228B1"/>
    <w:rsid w:val="00D26C0D"/>
    <w:rsid w:val="00D27134"/>
    <w:rsid w:val="00D563AA"/>
    <w:rsid w:val="00D71CBB"/>
    <w:rsid w:val="00D816F8"/>
    <w:rsid w:val="00D84A4B"/>
    <w:rsid w:val="00DA05A3"/>
    <w:rsid w:val="00DC40ED"/>
    <w:rsid w:val="00DE6C17"/>
    <w:rsid w:val="00DE75B0"/>
    <w:rsid w:val="00E0780E"/>
    <w:rsid w:val="00E22E42"/>
    <w:rsid w:val="00E366D3"/>
    <w:rsid w:val="00EC71C3"/>
    <w:rsid w:val="00F33906"/>
    <w:rsid w:val="00F7165C"/>
    <w:rsid w:val="00F811C5"/>
    <w:rsid w:val="00FD3616"/>
    <w:rsid w:val="00FE1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91280"/>
  <w14:defaultImageDpi w14:val="300"/>
  <w15:docId w15:val="{AA1755E4-A56F-4CD0-A04F-9DF3BF75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76"/>
    <w:rPr>
      <w:sz w:val="24"/>
      <w:szCs w:val="24"/>
      <w:lang w:bidi="en-US"/>
    </w:rPr>
  </w:style>
  <w:style w:type="paragraph" w:styleId="Heading1">
    <w:name w:val="heading 1"/>
    <w:basedOn w:val="Normal"/>
    <w:next w:val="Normal"/>
    <w:link w:val="Heading1Char"/>
    <w:uiPriority w:val="9"/>
    <w:qFormat/>
    <w:rsid w:val="00504E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4E7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4E7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04E7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04E7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04E7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04E76"/>
    <w:pPr>
      <w:spacing w:before="240" w:after="60"/>
      <w:outlineLvl w:val="6"/>
    </w:pPr>
  </w:style>
  <w:style w:type="paragraph" w:styleId="Heading8">
    <w:name w:val="heading 8"/>
    <w:basedOn w:val="Normal"/>
    <w:next w:val="Normal"/>
    <w:link w:val="Heading8Char"/>
    <w:uiPriority w:val="9"/>
    <w:unhideWhenUsed/>
    <w:qFormat/>
    <w:rsid w:val="00504E76"/>
    <w:pPr>
      <w:spacing w:before="240" w:after="60"/>
      <w:outlineLvl w:val="7"/>
    </w:pPr>
    <w:rPr>
      <w:i/>
      <w:iCs/>
    </w:rPr>
  </w:style>
  <w:style w:type="paragraph" w:styleId="Heading9">
    <w:name w:val="heading 9"/>
    <w:basedOn w:val="Normal"/>
    <w:next w:val="Normal"/>
    <w:link w:val="Heading9Char"/>
    <w:uiPriority w:val="9"/>
    <w:semiHidden/>
    <w:unhideWhenUsed/>
    <w:qFormat/>
    <w:rsid w:val="00504E7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EF1"/>
    <w:rPr>
      <w:rFonts w:ascii="Tahoma" w:hAnsi="Tahoma" w:cs="Tahoma"/>
      <w:sz w:val="16"/>
      <w:szCs w:val="16"/>
    </w:rPr>
  </w:style>
  <w:style w:type="character" w:customStyle="1" w:styleId="BalloonTextChar">
    <w:name w:val="Balloon Text Char"/>
    <w:basedOn w:val="DefaultParagraphFont"/>
    <w:link w:val="BalloonText"/>
    <w:uiPriority w:val="99"/>
    <w:semiHidden/>
    <w:rsid w:val="00010EF1"/>
    <w:rPr>
      <w:rFonts w:ascii="Tahoma" w:hAnsi="Tahoma" w:cs="Tahoma"/>
      <w:sz w:val="16"/>
      <w:szCs w:val="16"/>
    </w:rPr>
  </w:style>
  <w:style w:type="character" w:customStyle="1" w:styleId="Heading1Char">
    <w:name w:val="Heading 1 Char"/>
    <w:basedOn w:val="DefaultParagraphFont"/>
    <w:link w:val="Heading1"/>
    <w:uiPriority w:val="9"/>
    <w:rsid w:val="00504E76"/>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04E76"/>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04E76"/>
    <w:rPr>
      <w:rFonts w:ascii="Cambria" w:eastAsia="Times New Roman" w:hAnsi="Cambria"/>
      <w:b/>
      <w:bCs/>
      <w:sz w:val="26"/>
      <w:szCs w:val="26"/>
    </w:rPr>
  </w:style>
  <w:style w:type="character" w:customStyle="1" w:styleId="Heading4Char">
    <w:name w:val="Heading 4 Char"/>
    <w:basedOn w:val="DefaultParagraphFont"/>
    <w:link w:val="Heading4"/>
    <w:uiPriority w:val="9"/>
    <w:rsid w:val="00504E76"/>
    <w:rPr>
      <w:b/>
      <w:bCs/>
      <w:sz w:val="28"/>
      <w:szCs w:val="28"/>
    </w:rPr>
  </w:style>
  <w:style w:type="character" w:customStyle="1" w:styleId="Heading5Char">
    <w:name w:val="Heading 5 Char"/>
    <w:basedOn w:val="DefaultParagraphFont"/>
    <w:link w:val="Heading5"/>
    <w:uiPriority w:val="9"/>
    <w:semiHidden/>
    <w:rsid w:val="00504E76"/>
    <w:rPr>
      <w:b/>
      <w:bCs/>
      <w:i/>
      <w:iCs/>
      <w:sz w:val="26"/>
      <w:szCs w:val="26"/>
    </w:rPr>
  </w:style>
  <w:style w:type="character" w:customStyle="1" w:styleId="Heading6Char">
    <w:name w:val="Heading 6 Char"/>
    <w:basedOn w:val="DefaultParagraphFont"/>
    <w:link w:val="Heading6"/>
    <w:uiPriority w:val="9"/>
    <w:semiHidden/>
    <w:rsid w:val="00504E76"/>
    <w:rPr>
      <w:b/>
      <w:bCs/>
    </w:rPr>
  </w:style>
  <w:style w:type="character" w:customStyle="1" w:styleId="Heading7Char">
    <w:name w:val="Heading 7 Char"/>
    <w:basedOn w:val="DefaultParagraphFont"/>
    <w:link w:val="Heading7"/>
    <w:uiPriority w:val="9"/>
    <w:semiHidden/>
    <w:rsid w:val="00504E76"/>
    <w:rPr>
      <w:sz w:val="24"/>
      <w:szCs w:val="24"/>
    </w:rPr>
  </w:style>
  <w:style w:type="character" w:customStyle="1" w:styleId="Heading8Char">
    <w:name w:val="Heading 8 Char"/>
    <w:basedOn w:val="DefaultParagraphFont"/>
    <w:link w:val="Heading8"/>
    <w:uiPriority w:val="9"/>
    <w:rsid w:val="00504E76"/>
    <w:rPr>
      <w:i/>
      <w:iCs/>
      <w:sz w:val="24"/>
      <w:szCs w:val="24"/>
    </w:rPr>
  </w:style>
  <w:style w:type="character" w:customStyle="1" w:styleId="Heading9Char">
    <w:name w:val="Heading 9 Char"/>
    <w:basedOn w:val="DefaultParagraphFont"/>
    <w:link w:val="Heading9"/>
    <w:uiPriority w:val="9"/>
    <w:semiHidden/>
    <w:rsid w:val="00504E76"/>
    <w:rPr>
      <w:rFonts w:ascii="Cambria" w:eastAsia="Times New Roman" w:hAnsi="Cambria"/>
    </w:rPr>
  </w:style>
  <w:style w:type="paragraph" w:styleId="Title">
    <w:name w:val="Title"/>
    <w:basedOn w:val="Normal"/>
    <w:next w:val="Normal"/>
    <w:link w:val="TitleChar"/>
    <w:uiPriority w:val="10"/>
    <w:qFormat/>
    <w:rsid w:val="00504E7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04E7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04E76"/>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04E76"/>
    <w:rPr>
      <w:rFonts w:ascii="Cambria" w:eastAsia="Times New Roman" w:hAnsi="Cambria"/>
      <w:sz w:val="24"/>
      <w:szCs w:val="24"/>
    </w:rPr>
  </w:style>
  <w:style w:type="character" w:styleId="Strong">
    <w:name w:val="Strong"/>
    <w:basedOn w:val="DefaultParagraphFont"/>
    <w:uiPriority w:val="22"/>
    <w:qFormat/>
    <w:rsid w:val="00504E76"/>
    <w:rPr>
      <w:b/>
      <w:bCs/>
    </w:rPr>
  </w:style>
  <w:style w:type="character" w:styleId="Emphasis">
    <w:name w:val="Emphasis"/>
    <w:basedOn w:val="DefaultParagraphFont"/>
    <w:uiPriority w:val="20"/>
    <w:qFormat/>
    <w:rsid w:val="00504E76"/>
    <w:rPr>
      <w:rFonts w:ascii="Calibri" w:hAnsi="Calibri"/>
      <w:b/>
      <w:i/>
      <w:iCs/>
    </w:rPr>
  </w:style>
  <w:style w:type="paragraph" w:styleId="NoSpacing">
    <w:name w:val="No Spacing"/>
    <w:basedOn w:val="Normal"/>
    <w:uiPriority w:val="1"/>
    <w:qFormat/>
    <w:rsid w:val="00504E76"/>
    <w:rPr>
      <w:szCs w:val="32"/>
    </w:rPr>
  </w:style>
  <w:style w:type="paragraph" w:styleId="ListParagraph">
    <w:name w:val="List Paragraph"/>
    <w:basedOn w:val="Normal"/>
    <w:uiPriority w:val="34"/>
    <w:qFormat/>
    <w:rsid w:val="00504E76"/>
    <w:pPr>
      <w:ind w:left="720"/>
      <w:contextualSpacing/>
    </w:pPr>
  </w:style>
  <w:style w:type="paragraph" w:styleId="Quote">
    <w:name w:val="Quote"/>
    <w:basedOn w:val="Normal"/>
    <w:next w:val="Normal"/>
    <w:link w:val="QuoteChar"/>
    <w:uiPriority w:val="29"/>
    <w:qFormat/>
    <w:rsid w:val="00504E76"/>
    <w:rPr>
      <w:i/>
    </w:rPr>
  </w:style>
  <w:style w:type="character" w:customStyle="1" w:styleId="QuoteChar">
    <w:name w:val="Quote Char"/>
    <w:basedOn w:val="DefaultParagraphFont"/>
    <w:link w:val="Quote"/>
    <w:uiPriority w:val="29"/>
    <w:rsid w:val="00504E76"/>
    <w:rPr>
      <w:i/>
      <w:sz w:val="24"/>
      <w:szCs w:val="24"/>
    </w:rPr>
  </w:style>
  <w:style w:type="paragraph" w:styleId="IntenseQuote">
    <w:name w:val="Intense Quote"/>
    <w:basedOn w:val="Normal"/>
    <w:next w:val="Normal"/>
    <w:link w:val="IntenseQuoteChar"/>
    <w:uiPriority w:val="30"/>
    <w:qFormat/>
    <w:rsid w:val="00504E76"/>
    <w:pPr>
      <w:ind w:left="720" w:right="720"/>
    </w:pPr>
    <w:rPr>
      <w:b/>
      <w:i/>
      <w:szCs w:val="22"/>
    </w:rPr>
  </w:style>
  <w:style w:type="character" w:customStyle="1" w:styleId="IntenseQuoteChar">
    <w:name w:val="Intense Quote Char"/>
    <w:basedOn w:val="DefaultParagraphFont"/>
    <w:link w:val="IntenseQuote"/>
    <w:uiPriority w:val="30"/>
    <w:rsid w:val="00504E76"/>
    <w:rPr>
      <w:b/>
      <w:i/>
      <w:sz w:val="24"/>
    </w:rPr>
  </w:style>
  <w:style w:type="character" w:styleId="SubtleEmphasis">
    <w:name w:val="Subtle Emphasis"/>
    <w:uiPriority w:val="19"/>
    <w:qFormat/>
    <w:rsid w:val="00504E76"/>
    <w:rPr>
      <w:i/>
      <w:color w:val="5A5A5A"/>
    </w:rPr>
  </w:style>
  <w:style w:type="character" w:styleId="IntenseEmphasis">
    <w:name w:val="Intense Emphasis"/>
    <w:basedOn w:val="DefaultParagraphFont"/>
    <w:uiPriority w:val="21"/>
    <w:qFormat/>
    <w:rsid w:val="00504E76"/>
    <w:rPr>
      <w:b/>
      <w:i/>
      <w:sz w:val="24"/>
      <w:szCs w:val="24"/>
      <w:u w:val="single"/>
    </w:rPr>
  </w:style>
  <w:style w:type="character" w:styleId="SubtleReference">
    <w:name w:val="Subtle Reference"/>
    <w:basedOn w:val="DefaultParagraphFont"/>
    <w:uiPriority w:val="31"/>
    <w:qFormat/>
    <w:rsid w:val="00504E76"/>
    <w:rPr>
      <w:sz w:val="24"/>
      <w:szCs w:val="24"/>
      <w:u w:val="single"/>
    </w:rPr>
  </w:style>
  <w:style w:type="character" w:styleId="IntenseReference">
    <w:name w:val="Intense Reference"/>
    <w:basedOn w:val="DefaultParagraphFont"/>
    <w:uiPriority w:val="32"/>
    <w:qFormat/>
    <w:rsid w:val="00504E76"/>
    <w:rPr>
      <w:b/>
      <w:sz w:val="24"/>
      <w:u w:val="single"/>
    </w:rPr>
  </w:style>
  <w:style w:type="character" w:styleId="BookTitle">
    <w:name w:val="Book Title"/>
    <w:basedOn w:val="DefaultParagraphFont"/>
    <w:uiPriority w:val="33"/>
    <w:qFormat/>
    <w:rsid w:val="00504E7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04E76"/>
    <w:pPr>
      <w:outlineLvl w:val="9"/>
    </w:pPr>
  </w:style>
  <w:style w:type="paragraph" w:styleId="Header">
    <w:name w:val="header"/>
    <w:basedOn w:val="Normal"/>
    <w:link w:val="HeaderChar"/>
    <w:unhideWhenUsed/>
    <w:rsid w:val="00D71CBB"/>
    <w:pPr>
      <w:tabs>
        <w:tab w:val="center" w:pos="4680"/>
        <w:tab w:val="right" w:pos="9360"/>
      </w:tabs>
    </w:pPr>
  </w:style>
  <w:style w:type="character" w:customStyle="1" w:styleId="HeaderChar">
    <w:name w:val="Header Char"/>
    <w:basedOn w:val="DefaultParagraphFont"/>
    <w:link w:val="Header"/>
    <w:rsid w:val="00D71CBB"/>
    <w:rPr>
      <w:sz w:val="24"/>
      <w:szCs w:val="24"/>
      <w:lang w:bidi="en-US"/>
    </w:rPr>
  </w:style>
  <w:style w:type="paragraph" w:styleId="Footer">
    <w:name w:val="footer"/>
    <w:basedOn w:val="Normal"/>
    <w:link w:val="FooterChar"/>
    <w:uiPriority w:val="99"/>
    <w:unhideWhenUsed/>
    <w:rsid w:val="00D71CBB"/>
    <w:pPr>
      <w:tabs>
        <w:tab w:val="center" w:pos="4680"/>
        <w:tab w:val="right" w:pos="9360"/>
      </w:tabs>
    </w:pPr>
  </w:style>
  <w:style w:type="character" w:customStyle="1" w:styleId="FooterChar">
    <w:name w:val="Footer Char"/>
    <w:basedOn w:val="DefaultParagraphFont"/>
    <w:link w:val="Footer"/>
    <w:uiPriority w:val="99"/>
    <w:rsid w:val="00D71CBB"/>
    <w:rPr>
      <w:sz w:val="24"/>
      <w:szCs w:val="24"/>
      <w:lang w:bidi="en-US"/>
    </w:rPr>
  </w:style>
  <w:style w:type="character" w:styleId="PageNumber">
    <w:name w:val="page number"/>
    <w:basedOn w:val="DefaultParagraphFont"/>
    <w:semiHidden/>
    <w:rsid w:val="00282096"/>
  </w:style>
  <w:style w:type="paragraph" w:styleId="Revision">
    <w:name w:val="Revision"/>
    <w:hidden/>
    <w:uiPriority w:val="71"/>
    <w:semiHidden/>
    <w:rsid w:val="003B0CA5"/>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87b149-3b2c-44a8-86a8-490230398622">
      <Terms xmlns="http://schemas.microsoft.com/office/infopath/2007/PartnerControls"/>
    </lcf76f155ced4ddcb4097134ff3c332f>
    <TaxCatchAll xmlns="597225ed-583d-4aa4-960e-b0fb2945bbd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FC477444EE694DAAF66624D40B5FEE" ma:contentTypeVersion="18" ma:contentTypeDescription="Create a new document." ma:contentTypeScope="" ma:versionID="2cb1410f61cde38d3b82072df66157d7">
  <xsd:schema xmlns:xsd="http://www.w3.org/2001/XMLSchema" xmlns:xs="http://www.w3.org/2001/XMLSchema" xmlns:p="http://schemas.microsoft.com/office/2006/metadata/properties" xmlns:ns2="8b87b149-3b2c-44a8-86a8-490230398622" xmlns:ns3="597225ed-583d-4aa4-960e-b0fb2945bbdb" targetNamespace="http://schemas.microsoft.com/office/2006/metadata/properties" ma:root="true" ma:fieldsID="1bf0ed833388bdb21b517ef250d9af12" ns2:_="" ns3:_="">
    <xsd:import namespace="8b87b149-3b2c-44a8-86a8-490230398622"/>
    <xsd:import namespace="597225ed-583d-4aa4-960e-b0fb2945bb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7b149-3b2c-44a8-86a8-490230398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b9df8a-7956-425f-b255-c6c2e828fe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225ed-583d-4aa4-960e-b0fb2945bb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be721b-4094-449a-85eb-df6dbde5ddc9}" ma:internalName="TaxCatchAll" ma:showField="CatchAllData" ma:web="597225ed-583d-4aa4-960e-b0fb2945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20A3F-A60C-4632-AAC0-3796EAB23D3A}">
  <ds:schemaRefs>
    <ds:schemaRef ds:uri="http://schemas.microsoft.com/office/2006/metadata/properties"/>
    <ds:schemaRef ds:uri="http://schemas.microsoft.com/office/infopath/2007/PartnerControls"/>
    <ds:schemaRef ds:uri="8b87b149-3b2c-44a8-86a8-490230398622"/>
    <ds:schemaRef ds:uri="597225ed-583d-4aa4-960e-b0fb2945bbdb"/>
  </ds:schemaRefs>
</ds:datastoreItem>
</file>

<file path=customXml/itemProps2.xml><?xml version="1.0" encoding="utf-8"?>
<ds:datastoreItem xmlns:ds="http://schemas.openxmlformats.org/officeDocument/2006/customXml" ds:itemID="{A5BCA9E5-79A8-4BFC-926D-AA4A6B8238E0}">
  <ds:schemaRefs>
    <ds:schemaRef ds:uri="http://schemas.openxmlformats.org/officeDocument/2006/bibliography"/>
  </ds:schemaRefs>
</ds:datastoreItem>
</file>

<file path=customXml/itemProps3.xml><?xml version="1.0" encoding="utf-8"?>
<ds:datastoreItem xmlns:ds="http://schemas.openxmlformats.org/officeDocument/2006/customXml" ds:itemID="{EF2BA0C3-5CEA-46D6-86A6-89ABAD6557F6}">
  <ds:schemaRefs>
    <ds:schemaRef ds:uri="http://schemas.microsoft.com/sharepoint/v3/contenttype/forms"/>
  </ds:schemaRefs>
</ds:datastoreItem>
</file>

<file path=customXml/itemProps4.xml><?xml version="1.0" encoding="utf-8"?>
<ds:datastoreItem xmlns:ds="http://schemas.openxmlformats.org/officeDocument/2006/customXml" ds:itemID="{2866616C-4F57-4C8F-80DF-8B38F831B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7b149-3b2c-44a8-86a8-490230398622"/>
    <ds:schemaRef ds:uri="597225ed-583d-4aa4-960e-b0fb2945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Bush</dc:creator>
  <cp:keywords/>
  <dc:description/>
  <cp:lastModifiedBy>Taylor Davis</cp:lastModifiedBy>
  <cp:revision>5</cp:revision>
  <cp:lastPrinted>2015-05-14T17:41:00Z</cp:lastPrinted>
  <dcterms:created xsi:type="dcterms:W3CDTF">2023-01-23T17:55:00Z</dcterms:created>
  <dcterms:modified xsi:type="dcterms:W3CDTF">2024-06-11T23:01:00Z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0x010100D7FC477444EE694DAAF66624D40B5FEE</vt:lpwstr>
  </property>
  <property fmtid="{D5CDD505-2E9C-101B-9397-08002B2CF9AE}" pid="3" name="MediaServiceImageTags">
    <vt:lpwstr/>
  </property>
</Properties>
</file>